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F74DBA" w14:textId="77777777" w:rsidR="00176C14" w:rsidRDefault="00000000">
      <w:pPr>
        <w:spacing w:after="40"/>
      </w:pPr>
      <w:r>
        <w:rPr>
          <w:rFonts w:ascii="Arial" w:eastAsia="Arial" w:hAnsi="Arial" w:cs="Arial"/>
          <w:b/>
          <w:bCs/>
          <w:color w:val="7F7F7F"/>
        </w:rPr>
        <w:t>BED 106 — BUSINESS ANALYTICS</w:t>
      </w:r>
    </w:p>
    <w:p w14:paraId="366DE151" w14:textId="760627CE" w:rsidR="00176C14" w:rsidRDefault="00000000">
      <w:pPr>
        <w:spacing w:after="40"/>
      </w:pPr>
      <w:r>
        <w:rPr>
          <w:rFonts w:ascii="Arial" w:eastAsia="Arial" w:hAnsi="Arial" w:cs="Arial"/>
          <w:b/>
          <w:bCs/>
          <w:color w:val="1F3864"/>
          <w:sz w:val="32"/>
          <w:szCs w:val="32"/>
        </w:rPr>
        <w:t>Checkpoint 4: Task 4.2 Data Ethics, Privacy &amp; Governance Report</w:t>
      </w:r>
    </w:p>
    <w:p w14:paraId="3069A6EF" w14:textId="090D03D1" w:rsidR="00176C14" w:rsidRDefault="00000000">
      <w:pPr>
        <w:spacing w:after="300"/>
      </w:pPr>
      <w:proofErr w:type="spellStart"/>
      <w:proofErr w:type="gramStart"/>
      <w:r>
        <w:rPr>
          <w:rFonts w:ascii="Arial" w:eastAsia="Arial" w:hAnsi="Arial" w:cs="Arial"/>
          <w:i/>
          <w:iCs/>
          <w:sz w:val="24"/>
          <w:szCs w:val="24"/>
        </w:rPr>
        <w:t>RetailPulse</w:t>
      </w:r>
      <w:proofErr w:type="spellEnd"/>
      <w:r>
        <w:rPr>
          <w:rFonts w:ascii="Arial" w:eastAsia="Arial" w:hAnsi="Arial" w:cs="Arial"/>
          <w:i/>
          <w:iCs/>
          <w:sz w:val="24"/>
          <w:szCs w:val="24"/>
        </w:rPr>
        <w:t xml:space="preserve">  </w:t>
      </w:r>
      <w:proofErr w:type="spellStart"/>
      <w:r>
        <w:rPr>
          <w:rFonts w:ascii="Arial" w:eastAsia="Arial" w:hAnsi="Arial" w:cs="Arial"/>
          <w:i/>
          <w:iCs/>
          <w:sz w:val="24"/>
          <w:szCs w:val="24"/>
        </w:rPr>
        <w:t>Poblacion</w:t>
      </w:r>
      <w:proofErr w:type="spellEnd"/>
      <w:proofErr w:type="gramEnd"/>
      <w:r>
        <w:rPr>
          <w:rFonts w:ascii="Arial" w:eastAsia="Arial" w:hAnsi="Arial" w:cs="Arial"/>
          <w:i/>
          <w:iCs/>
          <w:sz w:val="24"/>
          <w:szCs w:val="24"/>
        </w:rPr>
        <w:t xml:space="preserve"> Grocery Mart</w:t>
      </w:r>
    </w:p>
    <w:p w14:paraId="6035F5BD" w14:textId="77777777" w:rsidR="00176C14" w:rsidRDefault="00000000">
      <w:pPr>
        <w:spacing w:before="300" w:after="160"/>
      </w:pPr>
      <w:r>
        <w:rPr>
          <w:rFonts w:ascii="Arial" w:eastAsia="Arial" w:hAnsi="Arial" w:cs="Arial"/>
          <w:b/>
          <w:bCs/>
          <w:color w:val="1F3864"/>
          <w:sz w:val="30"/>
          <w:szCs w:val="30"/>
        </w:rPr>
        <w:t>Privacy Considerations</w:t>
      </w:r>
    </w:p>
    <w:p w14:paraId="1121487A" w14:textId="77777777" w:rsidR="00176C14" w:rsidRDefault="00000000">
      <w:pPr>
        <w:spacing w:after="160" w:line="360" w:lineRule="auto"/>
      </w:pPr>
      <w:r>
        <w:rPr>
          <w:rFonts w:ascii="Arial" w:eastAsia="Arial" w:hAnsi="Arial" w:cs="Arial"/>
          <w:sz w:val="24"/>
          <w:szCs w:val="24"/>
        </w:rPr>
        <w:t xml:space="preserve">The dataset used throughout this project (categories, products, transactions, </w:t>
      </w:r>
      <w:proofErr w:type="spellStart"/>
      <w:r>
        <w:rPr>
          <w:rFonts w:ascii="Arial" w:eastAsia="Arial" w:hAnsi="Arial" w:cs="Arial"/>
          <w:sz w:val="24"/>
          <w:szCs w:val="24"/>
        </w:rPr>
        <w:t>transaction_items</w:t>
      </w:r>
      <w:proofErr w:type="spellEnd"/>
      <w:r>
        <w:rPr>
          <w:rFonts w:ascii="Arial" w:eastAsia="Arial" w:hAnsi="Arial" w:cs="Arial"/>
          <w:sz w:val="24"/>
          <w:szCs w:val="24"/>
        </w:rPr>
        <w:t xml:space="preserve">) is localized data modeled on the </w:t>
      </w:r>
      <w:proofErr w:type="spellStart"/>
      <w:r>
        <w:rPr>
          <w:rFonts w:ascii="Arial" w:eastAsia="Arial" w:hAnsi="Arial" w:cs="Arial"/>
          <w:sz w:val="24"/>
          <w:szCs w:val="24"/>
        </w:rPr>
        <w:t>Supermart</w:t>
      </w:r>
      <w:proofErr w:type="spellEnd"/>
      <w:r>
        <w:rPr>
          <w:rFonts w:ascii="Arial" w:eastAsia="Arial" w:hAnsi="Arial" w:cs="Arial"/>
          <w:sz w:val="24"/>
          <w:szCs w:val="24"/>
        </w:rPr>
        <w:t xml:space="preserve"> Grocery Sales – Retail Analytics Dataset (Kaggle, 2022) rather than sourced from a real business, precisely because real point-of-sale data from a specific store in </w:t>
      </w:r>
      <w:proofErr w:type="spellStart"/>
      <w:r>
        <w:rPr>
          <w:rFonts w:ascii="Arial" w:eastAsia="Arial" w:hAnsi="Arial" w:cs="Arial"/>
          <w:sz w:val="24"/>
          <w:szCs w:val="24"/>
        </w:rPr>
        <w:t>Poblacion</w:t>
      </w:r>
      <w:proofErr w:type="spellEnd"/>
      <w:r>
        <w:rPr>
          <w:rFonts w:ascii="Arial" w:eastAsia="Arial" w:hAnsi="Arial" w:cs="Arial"/>
          <w:sz w:val="24"/>
          <w:szCs w:val="24"/>
        </w:rPr>
        <w:t xml:space="preserve">, </w:t>
      </w:r>
      <w:proofErr w:type="spellStart"/>
      <w:r>
        <w:rPr>
          <w:rFonts w:ascii="Arial" w:eastAsia="Arial" w:hAnsi="Arial" w:cs="Arial"/>
          <w:sz w:val="24"/>
          <w:szCs w:val="24"/>
        </w:rPr>
        <w:t>Talibon</w:t>
      </w:r>
      <w:proofErr w:type="spellEnd"/>
      <w:r>
        <w:rPr>
          <w:rFonts w:ascii="Arial" w:eastAsia="Arial" w:hAnsi="Arial" w:cs="Arial"/>
          <w:sz w:val="24"/>
          <w:szCs w:val="24"/>
        </w:rPr>
        <w:t xml:space="preserve"> could not be obtained with proper owner consent. As a result, the working dataset contains no personally identifiable information: there are no customer names, loyalty IDs, contact details, or any field that identifies an individual shopper. Transaction records are tied to a receipt (</w:t>
      </w:r>
      <w:proofErr w:type="spellStart"/>
      <w:r>
        <w:rPr>
          <w:rFonts w:ascii="Arial" w:eastAsia="Arial" w:hAnsi="Arial" w:cs="Arial"/>
          <w:sz w:val="24"/>
          <w:szCs w:val="24"/>
        </w:rPr>
        <w:t>transaction_id</w:t>
      </w:r>
      <w:proofErr w:type="spellEnd"/>
      <w:r>
        <w:rPr>
          <w:rFonts w:ascii="Arial" w:eastAsia="Arial" w:hAnsi="Arial" w:cs="Arial"/>
          <w:sz w:val="24"/>
          <w:szCs w:val="24"/>
        </w:rPr>
        <w:t xml:space="preserve">), not to a person, and the only customer-adjacent field is </w:t>
      </w:r>
      <w:proofErr w:type="spellStart"/>
      <w:r>
        <w:rPr>
          <w:rFonts w:ascii="Arial" w:eastAsia="Arial" w:hAnsi="Arial" w:cs="Arial"/>
          <w:sz w:val="24"/>
          <w:szCs w:val="24"/>
        </w:rPr>
        <w:t>payment_type</w:t>
      </w:r>
      <w:proofErr w:type="spellEnd"/>
      <w:r>
        <w:rPr>
          <w:rFonts w:ascii="Arial" w:eastAsia="Arial" w:hAnsi="Arial" w:cs="Arial"/>
          <w:sz w:val="24"/>
          <w:szCs w:val="24"/>
        </w:rPr>
        <w:t xml:space="preserve"> (Cash, </w:t>
      </w:r>
      <w:proofErr w:type="spellStart"/>
      <w:r>
        <w:rPr>
          <w:rFonts w:ascii="Arial" w:eastAsia="Arial" w:hAnsi="Arial" w:cs="Arial"/>
          <w:sz w:val="24"/>
          <w:szCs w:val="24"/>
        </w:rPr>
        <w:t>GCash</w:t>
      </w:r>
      <w:proofErr w:type="spellEnd"/>
      <w:r>
        <w:rPr>
          <w:rFonts w:ascii="Arial" w:eastAsia="Arial" w:hAnsi="Arial" w:cs="Arial"/>
          <w:sz w:val="24"/>
          <w:szCs w:val="24"/>
        </w:rPr>
        <w:t>, Credit/Utang, or Unknown), which describes a payment method rather than an identity.</w:t>
      </w:r>
    </w:p>
    <w:p w14:paraId="44E62A9D" w14:textId="77777777" w:rsidR="00176C14" w:rsidRDefault="00000000">
      <w:pPr>
        <w:spacing w:after="160" w:line="360" w:lineRule="auto"/>
      </w:pPr>
      <w:r>
        <w:rPr>
          <w:rFonts w:ascii="Arial" w:eastAsia="Arial" w:hAnsi="Arial" w:cs="Arial"/>
          <w:sz w:val="24"/>
          <w:szCs w:val="24"/>
        </w:rPr>
        <w:t xml:space="preserve">This localized-data approach was a deliberate privacy safeguard, not an accident of convenience. If this project were extended to a real </w:t>
      </w:r>
      <w:proofErr w:type="spellStart"/>
      <w:r>
        <w:rPr>
          <w:rFonts w:ascii="Arial" w:eastAsia="Arial" w:hAnsi="Arial" w:cs="Arial"/>
          <w:sz w:val="24"/>
          <w:szCs w:val="24"/>
        </w:rPr>
        <w:t>Poblacion</w:t>
      </w:r>
      <w:proofErr w:type="spellEnd"/>
      <w:r>
        <w:rPr>
          <w:rFonts w:ascii="Arial" w:eastAsia="Arial" w:hAnsi="Arial" w:cs="Arial"/>
          <w:sz w:val="24"/>
          <w:szCs w:val="24"/>
        </w:rPr>
        <w:t xml:space="preserve"> Grocery Mart deployment using actual sales records, the privacy profile would change: even without names attached, transaction-level data can become personally identifiable when combined with other information (for example, a regular customer's known purchase pattern, or </w:t>
      </w:r>
      <w:proofErr w:type="spellStart"/>
      <w:r>
        <w:rPr>
          <w:rFonts w:ascii="Arial" w:eastAsia="Arial" w:hAnsi="Arial" w:cs="Arial"/>
          <w:sz w:val="24"/>
          <w:szCs w:val="24"/>
        </w:rPr>
        <w:t>GCash</w:t>
      </w:r>
      <w:proofErr w:type="spellEnd"/>
      <w:r>
        <w:rPr>
          <w:rFonts w:ascii="Arial" w:eastAsia="Arial" w:hAnsi="Arial" w:cs="Arial"/>
          <w:sz w:val="24"/>
          <w:szCs w:val="24"/>
        </w:rPr>
        <w:t xml:space="preserve"> transaction metadata that ties back to a mobile number). A real deployment would need explicit owner and, where applicable, customer consent, a clear statement of purpose limited to sales analytics, and technical safeguards such as anonymization or aggregation before any data leaves the point-of-sale system.</w:t>
      </w:r>
    </w:p>
    <w:p w14:paraId="4CFDAF03" w14:textId="77777777" w:rsidR="00176C14" w:rsidRDefault="00000000">
      <w:pPr>
        <w:spacing w:before="300" w:after="160"/>
      </w:pPr>
      <w:r>
        <w:rPr>
          <w:rFonts w:ascii="Arial" w:eastAsia="Arial" w:hAnsi="Arial" w:cs="Arial"/>
          <w:b/>
          <w:bCs/>
          <w:color w:val="1F3864"/>
          <w:sz w:val="30"/>
          <w:szCs w:val="30"/>
        </w:rPr>
        <w:t>Ethical Issues</w:t>
      </w:r>
    </w:p>
    <w:p w14:paraId="3B2FE819" w14:textId="7862D4C6" w:rsidR="00176C14" w:rsidRDefault="00000000">
      <w:pPr>
        <w:spacing w:after="160" w:line="360" w:lineRule="auto"/>
      </w:pPr>
      <w:r>
        <w:rPr>
          <w:rFonts w:ascii="Arial" w:eastAsia="Arial" w:hAnsi="Arial" w:cs="Arial"/>
          <w:sz w:val="24"/>
          <w:szCs w:val="24"/>
        </w:rPr>
        <w:t>The clustering analysis in this project groups products, not people, into segments (Everyday Margin Earners, High-Ticket Anchor Items, Core Revenue Drivers). Because the unit of analysis is a product rather than a customer, the segmentation carries a low risk of discriminating against any group of people it cannot be used to treat one shopper differently from another.</w:t>
      </w:r>
    </w:p>
    <w:p w14:paraId="37E7D109" w14:textId="77777777" w:rsidR="00176C14" w:rsidRDefault="00000000">
      <w:pPr>
        <w:spacing w:after="160" w:line="360" w:lineRule="auto"/>
      </w:pPr>
      <w:r>
        <w:rPr>
          <w:rFonts w:ascii="Arial" w:eastAsia="Arial" w:hAnsi="Arial" w:cs="Arial"/>
          <w:sz w:val="24"/>
          <w:szCs w:val="24"/>
        </w:rPr>
        <w:lastRenderedPageBreak/>
        <w:t xml:space="preserve">That said, two ethical risks are worth naming honestly. First, </w:t>
      </w:r>
      <w:proofErr w:type="spellStart"/>
      <w:r>
        <w:rPr>
          <w:rFonts w:ascii="Arial" w:eastAsia="Arial" w:hAnsi="Arial" w:cs="Arial"/>
          <w:sz w:val="24"/>
          <w:szCs w:val="24"/>
        </w:rPr>
        <w:t>payment_type</w:t>
      </w:r>
      <w:proofErr w:type="spellEnd"/>
      <w:r>
        <w:rPr>
          <w:rFonts w:ascii="Arial" w:eastAsia="Arial" w:hAnsi="Arial" w:cs="Arial"/>
          <w:sz w:val="24"/>
          <w:szCs w:val="24"/>
        </w:rPr>
        <w:t xml:space="preserve"> is a potential proxy variable: if this analysis were ever extended to segment or price differently based on how a transaction was paid (e.g., treating Credit/Utang customers differently from </w:t>
      </w:r>
      <w:proofErr w:type="spellStart"/>
      <w:r>
        <w:rPr>
          <w:rFonts w:ascii="Arial" w:eastAsia="Arial" w:hAnsi="Arial" w:cs="Arial"/>
          <w:sz w:val="24"/>
          <w:szCs w:val="24"/>
        </w:rPr>
        <w:t>GCash</w:t>
      </w:r>
      <w:proofErr w:type="spellEnd"/>
      <w:r>
        <w:rPr>
          <w:rFonts w:ascii="Arial" w:eastAsia="Arial" w:hAnsi="Arial" w:cs="Arial"/>
          <w:sz w:val="24"/>
          <w:szCs w:val="24"/>
        </w:rPr>
        <w:t xml:space="preserve"> or Cash customers), that would risk indirectly discriminating by economic status, since payment method can correlate with a household's financial situation in a small-town context. This project does not use </w:t>
      </w:r>
      <w:proofErr w:type="spellStart"/>
      <w:r>
        <w:rPr>
          <w:rFonts w:ascii="Arial" w:eastAsia="Arial" w:hAnsi="Arial" w:cs="Arial"/>
          <w:sz w:val="24"/>
          <w:szCs w:val="24"/>
        </w:rPr>
        <w:t>payment_type</w:t>
      </w:r>
      <w:proofErr w:type="spellEnd"/>
      <w:r>
        <w:rPr>
          <w:rFonts w:ascii="Arial" w:eastAsia="Arial" w:hAnsi="Arial" w:cs="Arial"/>
          <w:sz w:val="24"/>
          <w:szCs w:val="24"/>
        </w:rPr>
        <w:t xml:space="preserve"> this way, and any future extension should avoid doing so. Second, because the dataset is localized rather than observed, it reflects the assumptions built into its construction (product mix, pricing patterns, and demand behavior for a small-town Bohol grocery store) rather than verified ground truth. Conclusions and predictive models here should be understood as a proof of concept demonstrating the analytics approach, not as validated claims about </w:t>
      </w:r>
      <w:proofErr w:type="spellStart"/>
      <w:r>
        <w:rPr>
          <w:rFonts w:ascii="Arial" w:eastAsia="Arial" w:hAnsi="Arial" w:cs="Arial"/>
          <w:sz w:val="24"/>
          <w:szCs w:val="24"/>
        </w:rPr>
        <w:t>Poblacion</w:t>
      </w:r>
      <w:proofErr w:type="spellEnd"/>
      <w:r>
        <w:rPr>
          <w:rFonts w:ascii="Arial" w:eastAsia="Arial" w:hAnsi="Arial" w:cs="Arial"/>
          <w:sz w:val="24"/>
          <w:szCs w:val="24"/>
        </w:rPr>
        <w:t xml:space="preserve"> Grocery Mart's actual business, until re-tested on real, consented data.</w:t>
      </w:r>
    </w:p>
    <w:p w14:paraId="534B2AD3" w14:textId="77777777" w:rsidR="00176C14" w:rsidRDefault="00000000">
      <w:pPr>
        <w:spacing w:before="300" w:after="160"/>
      </w:pPr>
      <w:r>
        <w:rPr>
          <w:rFonts w:ascii="Arial" w:eastAsia="Arial" w:hAnsi="Arial" w:cs="Arial"/>
          <w:b/>
          <w:bCs/>
          <w:color w:val="1F3864"/>
          <w:sz w:val="30"/>
          <w:szCs w:val="30"/>
        </w:rPr>
        <w:t>Data Governance</w:t>
      </w:r>
    </w:p>
    <w:p w14:paraId="05B6B15B" w14:textId="77777777" w:rsidR="00176C14" w:rsidRDefault="00000000">
      <w:pPr>
        <w:spacing w:after="160" w:line="360" w:lineRule="auto"/>
      </w:pPr>
      <w:r>
        <w:rPr>
          <w:rFonts w:ascii="Arial" w:eastAsia="Arial" w:hAnsi="Arial" w:cs="Arial"/>
          <w:sz w:val="24"/>
          <w:szCs w:val="24"/>
        </w:rPr>
        <w:t>In this academic context, the group treats the localized dataset as project-owned data created for the purposes of this capstone, with no external subject whose consent is required. In a real deployment, data ownership and governance would look different: the store owner (</w:t>
      </w:r>
      <w:proofErr w:type="spellStart"/>
      <w:r>
        <w:rPr>
          <w:rFonts w:ascii="Arial" w:eastAsia="Arial" w:hAnsi="Arial" w:cs="Arial"/>
          <w:sz w:val="24"/>
          <w:szCs w:val="24"/>
        </w:rPr>
        <w:t>Poblacion</w:t>
      </w:r>
      <w:proofErr w:type="spellEnd"/>
      <w:r>
        <w:rPr>
          <w:rFonts w:ascii="Arial" w:eastAsia="Arial" w:hAnsi="Arial" w:cs="Arial"/>
          <w:sz w:val="24"/>
          <w:szCs w:val="24"/>
        </w:rPr>
        <w:t xml:space="preserve"> Grocery Mart) would own the underlying transaction data, and any analytics team or third-party tool (including this dashboard) would act as a data processor operating under the owner's authorization and purpose limitation.</w:t>
      </w:r>
    </w:p>
    <w:p w14:paraId="4CBE9539" w14:textId="2DAA0C8E" w:rsidR="00176C14" w:rsidRDefault="00000000">
      <w:pPr>
        <w:spacing w:after="160" w:line="360" w:lineRule="auto"/>
      </w:pPr>
      <w:r>
        <w:rPr>
          <w:rFonts w:ascii="Arial" w:eastAsia="Arial" w:hAnsi="Arial" w:cs="Arial"/>
          <w:sz w:val="24"/>
          <w:szCs w:val="24"/>
        </w:rPr>
        <w:t>A responsible data governance framework for this kind of small-retail analytics project should include: (1) purpose limitation  data collected for sales analytics should not be repurposed for unrelated uses, such as reselling customer insights, without renewed consent; (2) access control  raw transaction data should be restricted to people who need it for the analysis, with the dashboard's aggregated views (the four Power BI pages) as the shareable output rather than raw row-level exports; (3) retention limits point-of-sale data should be retained only as long as needed for the stated business purpose and then archived or deleted; and (4) data minimization  collecting only the fields actually needed for analysis (as this schema already does, with four lean, purpose-built tables) rather than accumulating unnecessary customer detail.</w:t>
      </w:r>
    </w:p>
    <w:p w14:paraId="466F8924" w14:textId="77777777" w:rsidR="00176C14" w:rsidRDefault="00000000">
      <w:pPr>
        <w:spacing w:before="300" w:after="160"/>
      </w:pPr>
      <w:r>
        <w:rPr>
          <w:rFonts w:ascii="Arial" w:eastAsia="Arial" w:hAnsi="Arial" w:cs="Arial"/>
          <w:b/>
          <w:bCs/>
          <w:color w:val="1F3864"/>
          <w:sz w:val="30"/>
          <w:szCs w:val="30"/>
        </w:rPr>
        <w:lastRenderedPageBreak/>
        <w:t>Regulatory Awareness</w:t>
      </w:r>
    </w:p>
    <w:p w14:paraId="3FED1753" w14:textId="77777777" w:rsidR="00176C14" w:rsidRDefault="00000000">
      <w:pPr>
        <w:spacing w:after="160" w:line="360" w:lineRule="auto"/>
      </w:pPr>
      <w:r>
        <w:rPr>
          <w:rFonts w:ascii="Arial" w:eastAsia="Arial" w:hAnsi="Arial" w:cs="Arial"/>
          <w:sz w:val="24"/>
          <w:szCs w:val="24"/>
        </w:rPr>
        <w:t xml:space="preserve">The relevant regulation for a Philippine business like </w:t>
      </w:r>
      <w:proofErr w:type="spellStart"/>
      <w:r>
        <w:rPr>
          <w:rFonts w:ascii="Arial" w:eastAsia="Arial" w:hAnsi="Arial" w:cs="Arial"/>
          <w:sz w:val="24"/>
          <w:szCs w:val="24"/>
        </w:rPr>
        <w:t>Poblacion</w:t>
      </w:r>
      <w:proofErr w:type="spellEnd"/>
      <w:r>
        <w:rPr>
          <w:rFonts w:ascii="Arial" w:eastAsia="Arial" w:hAnsi="Arial" w:cs="Arial"/>
          <w:sz w:val="24"/>
          <w:szCs w:val="24"/>
        </w:rPr>
        <w:t xml:space="preserve"> Grocery Mart is Republic Act No. 10173, the Data Privacy Act of 2012, enforced by the National Privacy Commission (NPC). RA 10173 applies to the processing of personal information and establishes core principles of transparency, legitimate purpose, and proportionality: organizations must be clear about what data they collect and why, must have a valid business reason for collecting it, and must not collect more than is necessary for that purpose. It also grants data subjects rights, including the right to be informed, to access their data, and to object to certain processing.</w:t>
      </w:r>
    </w:p>
    <w:p w14:paraId="05A49E8D" w14:textId="5CB23F58" w:rsidR="00176C14" w:rsidRDefault="00000000">
      <w:pPr>
        <w:spacing w:after="160" w:line="360" w:lineRule="auto"/>
      </w:pPr>
      <w:r>
        <w:rPr>
          <w:rFonts w:ascii="Arial" w:eastAsia="Arial" w:hAnsi="Arial" w:cs="Arial"/>
          <w:sz w:val="24"/>
          <w:szCs w:val="24"/>
        </w:rPr>
        <w:t xml:space="preserve">Because this project's working dataset contains no personal information, RA 10173 does not currently impose direct compliance obligations on the analysis itself. However, if </w:t>
      </w:r>
      <w:proofErr w:type="spellStart"/>
      <w:r>
        <w:rPr>
          <w:rFonts w:ascii="Arial" w:eastAsia="Arial" w:hAnsi="Arial" w:cs="Arial"/>
          <w:sz w:val="24"/>
          <w:szCs w:val="24"/>
        </w:rPr>
        <w:t>Poblacion</w:t>
      </w:r>
      <w:proofErr w:type="spellEnd"/>
      <w:r>
        <w:rPr>
          <w:rFonts w:ascii="Arial" w:eastAsia="Arial" w:hAnsi="Arial" w:cs="Arial"/>
          <w:sz w:val="24"/>
          <w:szCs w:val="24"/>
        </w:rPr>
        <w:t xml:space="preserve"> Grocery Mart adopted a real version of this dashboard using actual customer or transaction data linked to individuals (for example, a loyalty program), the store would become a personal information controller under RA 10173 and would need a lawful basis for processing, appropriate security measures, and a process for honoring data subject rights considerations this report recommends the business plan for before any such expansion.</w:t>
      </w:r>
    </w:p>
    <w:p w14:paraId="17634112" w14:textId="77777777" w:rsidR="00176C14" w:rsidRDefault="00000000">
      <w:pPr>
        <w:spacing w:before="300" w:after="160"/>
      </w:pPr>
      <w:r>
        <w:rPr>
          <w:rFonts w:ascii="Arial" w:eastAsia="Arial" w:hAnsi="Arial" w:cs="Arial"/>
          <w:b/>
          <w:bCs/>
          <w:color w:val="1F3864"/>
          <w:sz w:val="30"/>
          <w:szCs w:val="30"/>
        </w:rPr>
        <w:t>Summary</w:t>
      </w:r>
    </w:p>
    <w:p w14:paraId="55C40BB5" w14:textId="5DDC2927" w:rsidR="00176C14" w:rsidRDefault="00000000">
      <w:pPr>
        <w:spacing w:after="160" w:line="360" w:lineRule="auto"/>
      </w:pPr>
      <w:r>
        <w:rPr>
          <w:rFonts w:ascii="Arial" w:eastAsia="Arial" w:hAnsi="Arial" w:cs="Arial"/>
          <w:sz w:val="24"/>
          <w:szCs w:val="24"/>
        </w:rPr>
        <w:t xml:space="preserve">This project's use of localized, non-personal data was itself the primary privacy and ethics safeguard, and the analysis (product-level clustering and revenue modeling) does not target or differentiate individual customers. The main forward-looking </w:t>
      </w:r>
      <w:proofErr w:type="gramStart"/>
      <w:r>
        <w:rPr>
          <w:rFonts w:ascii="Arial" w:eastAsia="Arial" w:hAnsi="Arial" w:cs="Arial"/>
          <w:sz w:val="24"/>
          <w:szCs w:val="24"/>
        </w:rPr>
        <w:t>risks  proxy</w:t>
      </w:r>
      <w:proofErr w:type="gramEnd"/>
      <w:r>
        <w:rPr>
          <w:rFonts w:ascii="Arial" w:eastAsia="Arial" w:hAnsi="Arial" w:cs="Arial"/>
          <w:sz w:val="24"/>
          <w:szCs w:val="24"/>
        </w:rPr>
        <w:t xml:space="preserve"> discrimination via payment method, and treating localized-data findings as validated fact are avoidable with the safeguards outlined above, and RA 10173 provides the regulatory framework </w:t>
      </w:r>
      <w:proofErr w:type="spellStart"/>
      <w:r>
        <w:rPr>
          <w:rFonts w:ascii="Arial" w:eastAsia="Arial" w:hAnsi="Arial" w:cs="Arial"/>
          <w:sz w:val="24"/>
          <w:szCs w:val="24"/>
        </w:rPr>
        <w:t>Poblacion</w:t>
      </w:r>
      <w:proofErr w:type="spellEnd"/>
      <w:r>
        <w:rPr>
          <w:rFonts w:ascii="Arial" w:eastAsia="Arial" w:hAnsi="Arial" w:cs="Arial"/>
          <w:sz w:val="24"/>
          <w:szCs w:val="24"/>
        </w:rPr>
        <w:t xml:space="preserve"> Grocery Mart should follow if it ever processes real, identifiable customer data.</w:t>
      </w:r>
    </w:p>
    <w:sectPr w:rsidR="00176C1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24284F"/>
    <w:multiLevelType w:val="hybridMultilevel"/>
    <w:tmpl w:val="35FE9C00"/>
    <w:lvl w:ilvl="0" w:tplc="40C42A20">
      <w:start w:val="1"/>
      <w:numFmt w:val="bullet"/>
      <w:lvlText w:val="●"/>
      <w:lvlJc w:val="left"/>
      <w:pPr>
        <w:ind w:left="720" w:hanging="360"/>
      </w:pPr>
    </w:lvl>
    <w:lvl w:ilvl="1" w:tplc="79008D8A">
      <w:start w:val="1"/>
      <w:numFmt w:val="bullet"/>
      <w:lvlText w:val="○"/>
      <w:lvlJc w:val="left"/>
      <w:pPr>
        <w:ind w:left="1440" w:hanging="360"/>
      </w:pPr>
    </w:lvl>
    <w:lvl w:ilvl="2" w:tplc="8D56B612">
      <w:start w:val="1"/>
      <w:numFmt w:val="bullet"/>
      <w:lvlText w:val="■"/>
      <w:lvlJc w:val="left"/>
      <w:pPr>
        <w:ind w:left="2160" w:hanging="360"/>
      </w:pPr>
    </w:lvl>
    <w:lvl w:ilvl="3" w:tplc="74EC1BB4">
      <w:start w:val="1"/>
      <w:numFmt w:val="bullet"/>
      <w:lvlText w:val="●"/>
      <w:lvlJc w:val="left"/>
      <w:pPr>
        <w:ind w:left="2880" w:hanging="360"/>
      </w:pPr>
    </w:lvl>
    <w:lvl w:ilvl="4" w:tplc="18AE447C">
      <w:start w:val="1"/>
      <w:numFmt w:val="bullet"/>
      <w:lvlText w:val="○"/>
      <w:lvlJc w:val="left"/>
      <w:pPr>
        <w:ind w:left="3600" w:hanging="360"/>
      </w:pPr>
    </w:lvl>
    <w:lvl w:ilvl="5" w:tplc="A0F08670">
      <w:start w:val="1"/>
      <w:numFmt w:val="bullet"/>
      <w:lvlText w:val="■"/>
      <w:lvlJc w:val="left"/>
      <w:pPr>
        <w:ind w:left="4320" w:hanging="360"/>
      </w:pPr>
    </w:lvl>
    <w:lvl w:ilvl="6" w:tplc="FB385E7A">
      <w:start w:val="1"/>
      <w:numFmt w:val="bullet"/>
      <w:lvlText w:val="●"/>
      <w:lvlJc w:val="left"/>
      <w:pPr>
        <w:ind w:left="5040" w:hanging="360"/>
      </w:pPr>
    </w:lvl>
    <w:lvl w:ilvl="7" w:tplc="0D641E74">
      <w:start w:val="1"/>
      <w:numFmt w:val="bullet"/>
      <w:lvlText w:val="●"/>
      <w:lvlJc w:val="left"/>
      <w:pPr>
        <w:ind w:left="5760" w:hanging="360"/>
      </w:pPr>
    </w:lvl>
    <w:lvl w:ilvl="8" w:tplc="CA56CBF0">
      <w:start w:val="1"/>
      <w:numFmt w:val="bullet"/>
      <w:lvlText w:val="●"/>
      <w:lvlJc w:val="left"/>
      <w:pPr>
        <w:ind w:left="6480" w:hanging="360"/>
      </w:pPr>
    </w:lvl>
  </w:abstractNum>
  <w:num w:numId="1" w16cid:durableId="143814179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6C14"/>
    <w:rsid w:val="00176C14"/>
    <w:rsid w:val="00992526"/>
    <w:rsid w:val="00C17814"/>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3CC233"/>
  <w15:docId w15:val="{6C8043A7-9A6C-4B89-ACC2-7C6D82AE31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940</Words>
  <Characters>5359</Characters>
  <Application>Microsoft Office Word</Application>
  <DocSecurity>0</DocSecurity>
  <Lines>44</Lines>
  <Paragraphs>12</Paragraphs>
  <ScaleCrop>false</ScaleCrop>
  <Company/>
  <LinksUpToDate>false</LinksUpToDate>
  <CharactersWithSpaces>6287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Angelox Paredes</cp:lastModifiedBy>
  <cp:revision>2</cp:revision>
  <dcterms:created xsi:type="dcterms:W3CDTF">2026-08-23T11:04:00Z</dcterms:created>
  <dcterms:modified xsi:type="dcterms:W3CDTF">2026-10-17T04:50:00Z</dcterms:modified>
</cp:coreProperties>
</file>