
<file path=[Content_Types].xml><?xml version="1.0" encoding="utf-8"?>
<Types xmlns="http://schemas.openxmlformats.org/package/2006/content-types">
  <Default Extension="xml" ContentType="application/xml"/>
  <Default Extension="rels" ContentType="application/vnd.openxmlformats-package.relationships+xml"/>
  <Default Extension="emf" ContentType="image/x-emf"/>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uthor"/>
        <w:spacing w:beforeAutospacing="1" w:afterAutospacing="1"/>
        <w:rPr>
          <w:sz w:val="16"/>
          <w:szCs w:val="16"/>
          <w:lang w:val="es-VE"/>
        </w:rPr>
      </w:pPr>
      <w:r>
        <w:rPr>
          <w:rFonts w:eastAsia="MS Mincho"/>
          <w:sz w:val="48"/>
          <w:szCs w:val="48"/>
          <w:lang w:val="es-VE"/>
        </w:rPr>
        <w:t>Análisis Sistemático de Operadores de PostgreSQL y Almacenamiento basado en CSI en Kubernetes: Arquitectura, Manejo de Fallos e Implicaciones en la Consistencia</w:t>
      </w:r>
    </w:p>
    <w:p>
      <w:pPr>
        <w:sectPr>
          <w:type w:val="nextPage"/>
          <w:pgSz w:w="12240" w:h="15840"/>
          <w:pgMar w:left="893" w:right="893" w:gutter="0" w:header="0" w:top="1080" w:footer="0" w:bottom="1440"/>
          <w:pgNumType w:fmt="decimal"/>
          <w:formProt w:val="false"/>
          <w:textDirection w:val="lrTb"/>
          <w:docGrid w:type="default" w:linePitch="360" w:charSpace="8192"/>
        </w:sectPr>
      </w:pPr>
    </w:p>
    <w:p>
      <w:pPr>
        <w:pStyle w:val="Author"/>
        <w:spacing w:beforeAutospacing="1" w:after="40"/>
        <w:rPr>
          <w:sz w:val="18"/>
          <w:szCs w:val="18"/>
          <w:lang w:val="es-VE"/>
        </w:rPr>
      </w:pPr>
      <w:r>
        <w:rPr>
          <w:sz w:val="18"/>
          <w:szCs w:val="18"/>
          <w:lang w:val="es-VE"/>
        </w:rPr>
        <w:t xml:space="preserve">Angel A. Parejo R. </w:t>
        <w:br/>
        <w:t>Caracas, Venezuela</w:t>
        <w:br/>
        <w:t>angelparejo@gmail.com</w:t>
      </w:r>
    </w:p>
    <w:p>
      <w:pPr>
        <w:pStyle w:val="Author"/>
        <w:spacing w:beforeAutospacing="1" w:after="40"/>
        <w:contextualSpacing/>
        <w:rPr>
          <w:sz w:val="18"/>
          <w:szCs w:val="18"/>
          <w:lang w:val="es-VE"/>
        </w:rPr>
      </w:pPr>
      <w:r>
        <w:rPr>
          <w:sz w:val="18"/>
          <w:szCs w:val="18"/>
          <w:lang w:val="es-VE"/>
        </w:rPr>
      </w:r>
    </w:p>
    <w:p>
      <w:pPr>
        <w:pStyle w:val="Author"/>
        <w:spacing w:beforeAutospacing="1" w:after="40"/>
        <w:contextualSpacing/>
        <w:rPr>
          <w:sz w:val="18"/>
          <w:szCs w:val="18"/>
          <w:lang w:val="es-VE"/>
        </w:rPr>
      </w:pPr>
      <w:r>
        <w:rPr>
          <w:sz w:val="18"/>
          <w:szCs w:val="18"/>
          <w:lang w:val="es-VE"/>
        </w:rPr>
      </w:r>
    </w:p>
    <w:p>
      <w:pPr>
        <w:pStyle w:val="Author"/>
        <w:spacing w:beforeAutospacing="1" w:after="40"/>
        <w:contextualSpacing/>
        <w:rPr>
          <w:sz w:val="18"/>
          <w:szCs w:val="18"/>
          <w:lang w:val="es-VE"/>
        </w:rPr>
      </w:pPr>
      <w:r>
        <w:rPr>
          <w:sz w:val="18"/>
          <w:szCs w:val="18"/>
          <w:lang w:val="es-VE"/>
        </w:rPr>
      </w:r>
    </w:p>
    <w:p>
      <w:pPr>
        <w:sectPr>
          <w:type w:val="continuous"/>
          <w:pgSz w:w="12240" w:h="15840"/>
          <w:pgMar w:left="893" w:right="893" w:gutter="0" w:header="0" w:top="1080" w:footer="0" w:bottom="1440"/>
          <w:cols w:num="4" w:space="216" w:equalWidth="true" w:sep="false"/>
          <w:formProt w:val="false"/>
          <w:textDirection w:val="lrTb"/>
          <w:docGrid w:type="default" w:linePitch="360" w:charSpace="8192"/>
        </w:sectPr>
      </w:pPr>
    </w:p>
    <w:p>
      <w:pPr>
        <w:pStyle w:val="Author"/>
        <w:spacing w:beforeAutospacing="1" w:after="40"/>
        <w:jc w:val="both"/>
        <w:rPr>
          <w:sz w:val="16"/>
          <w:szCs w:val="16"/>
          <w:lang w:val="es-VE"/>
        </w:rPr>
      </w:pPr>
      <w:r>
        <w:rPr>
          <w:sz w:val="16"/>
          <w:szCs w:val="16"/>
          <w:lang w:val="es-VE"/>
        </w:rPr>
      </w:r>
    </w:p>
    <w:p>
      <w:pPr>
        <w:sectPr>
          <w:type w:val="continuous"/>
          <w:pgSz w:w="12240" w:h="15840"/>
          <w:pgMar w:left="893" w:right="893" w:gutter="0" w:header="0" w:top="1080" w:footer="0" w:bottom="1440"/>
          <w:cols w:num="4" w:space="216" w:equalWidth="true" w:sep="false"/>
          <w:formProt w:val="false"/>
          <w:textDirection w:val="lrTb"/>
          <w:docGrid w:type="default" w:linePitch="360" w:charSpace="8192"/>
        </w:sectPr>
      </w:pPr>
    </w:p>
    <w:p>
      <w:pPr>
        <w:pStyle w:val="Abstract"/>
        <w:rPr>
          <w:i/>
          <w:i/>
          <w:iCs/>
          <w:lang w:val="es-VE"/>
        </w:rPr>
      </w:pPr>
      <w:r>
        <w:rPr>
          <w:i/>
          <w:iCs/>
          <w:lang w:val="es-VE"/>
        </w:rPr>
        <w:t>Resumen</w:t>
      </w:r>
      <w:r>
        <w:rPr>
          <w:lang w:val="es-VE"/>
        </w:rPr>
        <w:t xml:space="preserve">—La creciente adopción de Kubernetes como plataforma de orquestación de contenedores de código abierto ha impulsado el surgimiento de los operadores de bases de datos (PostgreSQL) y de las Interfaces de Almacenamiento de Contenedores (CSI). La interacción entre estos componentes es un factor crítico en las arquitecturas nativas de la nube, aunque sigue siendo insuficientemente explorada. Este artículo presenta un análisis comparativo y sistemático </w:t>
      </w:r>
      <w:r>
        <w:rPr>
          <w:lang w:val="es-VE"/>
          <w:highlight w:val="yellow"/>
        </w:rPr>
        <w:t xml:space="preserve">sobre operadores de bases de datos y la CSI de Kubernetes</w:t>
      </w:r>
      <w:r>
        <w:rPr>
          <w:lang w:val="es-VE"/>
        </w:rPr>
        <w:t xml:space="preserve">. Propone un marco formal de evaluación, define invariantes del sistema e introduce un modelo de interacción multicapa. El análisis muestra cómo la interacción entre las interfaces de las cargas de trabajo de contenedores y el almacenamiento </w:t>
      </w:r>
      <w:r>
        <w:rPr>
          <w:lang w:val="es-VE"/>
          <w:highlight w:val="yellow"/>
        </w:rPr>
        <w:t xml:space="preserve">puede influir en la recuperación, la consistencia y la disponibilidad de las cargas PostgreSQL</w:t>
      </w:r>
      <w:r>
        <w:rPr>
          <w:lang w:val="es-VE"/>
        </w:rPr>
        <w:t xml:space="preserve"> gestionadas mediante operadores. Finalmente, el artículo identifica brechas de investigación y propone una agenda empírica para una validación posterior en escenarios controlados de fallo.</w:t>
      </w:r>
      <w:r>
        <w:rPr>
          <w:iCs/>
          <w:lang w:val="es-VE"/>
        </w:rPr>
        <w:t xml:space="preserve"> </w:t>
      </w:r>
    </w:p>
    <w:p>
      <w:pPr>
        <w:pStyle w:val="Keywords"/>
        <w:rPr>
          <w:lang w:val="es-VE"/>
        </w:rPr>
      </w:pPr>
      <w:r>
        <w:rPr>
          <w:lang w:val="es-VE"/>
        </w:rPr>
        <w:t xml:space="preserve">Palabras Clave— Kubernetes, PostgreSQL, operadores de bases de datos, CSI, arquitecturas nativas de la nube, sistemas distribuidos, cargas de trabajo, </w:t>
      </w:r>
      <w:r>
        <w:rPr>
          <w:lang w:val="es-VE"/>
          <w:highlight w:val="yellow"/>
        </w:rPr>
        <w:t xml:space="preserve">consistencia, resiliencia y conmutación por error (failover)</w:t>
      </w:r>
    </w:p>
    <w:p>
      <w:pPr>
        <w:pStyle w:val="Heading1"/>
        <w:numPr>
          <w:ilvl w:val="0"/>
          <w:numId w:val="4"/>
        </w:numPr>
        <w:ind w:hanging="0"/>
        <w:rPr/>
      </w:pPr>
      <w:r>
        <w:rPr/>
        <w:t>Introducción</w:t>
      </w:r>
    </w:p>
    <w:p>
      <w:pPr>
        <w:pStyle w:val="BodyText"/>
        <w:rPr/>
      </w:pPr>
      <w:r>
        <w:rPr/>
        <w:t xml:space="preserve">Kubernetes se ha convertido en la plataforma de facto para la orquestación de cargas de trabajo en contenedores, incluyendo aplicaciones con estado como las bases de datos [1], [2]. Este avance ha favorecido </w:t>
      </w:r>
      <w:r>
        <w:rPr>
          <w:highlight w:val="yellow"/>
        </w:rPr>
        <w:t xml:space="preserve">el desarrollo de operadores de bases de datos, particularmente para PostgreSQL, como un mecanismo</w:t>
      </w:r>
      <w:r>
        <w:rPr/>
        <w:t xml:space="preserve"> para automatizar la gestión del ciclo de vida, la replicación y los procesos de conmutación por error (failover) [5], [14].</w:t>
      </w:r>
    </w:p>
    <w:p>
      <w:pPr>
        <w:pStyle w:val="BodyText"/>
        <w:rPr/>
      </w:pPr>
      <w:r>
        <w:rPr/>
        <w:t xml:space="preserve">En paralelo, la Container Storage Interface (CSI) ha introducido un modelo estandarizado para la integración de sistemas de almacenamiento </w:t>
      </w:r>
      <w:r>
        <w:rPr>
          <w:highlight w:val="yellow"/>
        </w:rPr>
        <w:t xml:space="preserve">en Kubernetes, lo que facilita el uso de backends de almacenamiento heterogéneos [3].</w:t>
      </w:r>
    </w:p>
    <w:p>
      <w:pPr>
        <w:pStyle w:val="BodyText"/>
        <w:rPr/>
      </w:pPr>
      <w:r>
        <w:rPr/>
        <w:t>A pesar de la madurez de estos componentes, la literatura existente tiende a analizarlos de manera aislada, ya sea desde la perspectiva de la orquestación, la consistencia en sistemas distribuidos o la arquitectura de bases de datos [6], [7], [10].</w:t>
      </w:r>
    </w:p>
    <w:p>
      <w:pPr>
        <w:pStyle w:val="BodyText"/>
        <w:rPr/>
      </w:pPr>
      <w:r>
        <w:rPr/>
        <w:t xml:space="preserve">Sin embargo, diversos estudios han demostrado que aspectos como la consistencia, la resiliencia y la recuperación ante fallos </w:t>
      </w:r>
      <w:r>
        <w:rPr>
          <w:highlight w:val="yellow"/>
        </w:rPr>
        <w:t xml:space="preserve">están profundamente influidos por la interacción</w:t>
      </w:r>
      <w:r>
        <w:rPr/>
        <w:t xml:space="preserve"> entre múltiples capas del sistema [8], [9].</w:t>
      </w:r>
    </w:p>
    <w:p>
      <w:pPr>
        <w:pStyle w:val="BodyText"/>
        <w:rPr/>
      </w:pPr>
      <w:r>
        <w:rPr/>
        <w:t>En entornos reales, la confiabilidad de un clúster PostgreSQL depende del comportamiento conjunto de la lógica del operador, la planificación de Kubernetes, la semántica de replicación y las garantías del almacenamiento, lo que introduce una dependencia multicapa que aún no ha sido suficientemente explorada en la literatura.</w:t>
      </w:r>
    </w:p>
    <w:p>
      <w:pPr>
        <w:pStyle w:val="BodyText"/>
        <w:rPr/>
      </w:pPr>
      <w:r>
        <w:rPr/>
        <w:t xml:space="preserve">Este acoplamiento adquiere especial relevancia bajo condiciones de fallo, donde pequeñas variaciones en el comportamiento del almacenamiento pueden traducirse </w:t>
      </w:r>
      <w:r>
        <w:rPr>
          <w:highlight w:val="yellow"/>
        </w:rPr>
        <w:t xml:space="preserve">en diferencias significativas en la recuperación, la pérdida de datos o la consistencia observable</w:t>
      </w:r>
      <w:r>
        <w:rPr/>
        <w:t xml:space="preserve">.</w:t>
      </w:r>
    </w:p>
    <w:p>
      <w:pPr>
        <w:pStyle w:val="BodyText"/>
        <w:rPr/>
      </w:pPr>
      <w:r>
        <w:rPr/>
        <w:t>El argumento central de este artículo es que la confiabilidad de las cargas con estado en Kubernetes debe entenderse como un problema inherentemente multicapa. Aunque un operador de PostgreSQL puede implementar una lógica de control correcta, su comportamiento de recuperación está condicionado por factores externos como la latencia, la durabilidad, la topología y las características de failover asociadas al backend.</w:t>
      </w:r>
    </w:p>
    <w:p>
      <w:pPr>
        <w:pStyle w:val="BodyText"/>
        <w:rPr/>
      </w:pPr>
      <w:r>
        <w:rPr/>
        <w:t xml:space="preserve">De forma inversa, una configuración robusta en la capa de almacenamiento no garantiza por sí misma un comportamiento predecible de la base de datos </w:t>
      </w:r>
      <w:r>
        <w:rPr>
          <w:highlight w:val="yellow"/>
        </w:rPr>
        <w:t xml:space="preserve">si no existe alineación con los supuestos del operador y con la semántica de replicación</w:t>
      </w:r>
      <w:r>
        <w:rPr/>
        <w:t xml:space="preserve">. </w:t>
      </w:r>
    </w:p>
    <w:p>
      <w:pPr>
        <w:pStyle w:val="BodyText"/>
        <w:rPr/>
      </w:pPr>
      <w:r>
        <w:rPr/>
        <w:t xml:space="preserve">En este contexto, este trabajo </w:t>
      </w:r>
      <w:r>
        <w:rPr>
          <w:highlight w:val="yellow"/>
        </w:rPr>
        <w:t xml:space="preserve">propone un análisis integrado del problema descrito y presenta las siguientes contribuciones:</w:t>
      </w:r>
    </w:p>
    <w:p>
      <w:pPr>
        <w:pStyle w:val="bulletlist"/>
        <w:numPr>
          <w:ilvl w:val="0"/>
          <w:numId w:val="1"/>
        </w:numPr>
        <w:ind w:hanging="288" w:start="576"/>
        <w:rPr/>
      </w:pPr>
      <w:r>
        <w:rPr/>
        <w:t>Se propone una taxonomía de operadores de PostgreSQL y de sistemas de almacenamiento basados en CSI en entornos Kubernetes.</w:t>
      </w:r>
    </w:p>
    <w:p>
      <w:pPr>
        <w:pStyle w:val="bulletlist"/>
        <w:numPr>
          <w:ilvl w:val="0"/>
          <w:numId w:val="1"/>
        </w:numPr>
        <w:ind w:hanging="288" w:start="576"/>
        <w:rPr/>
      </w:pPr>
      <w:r>
        <w:rPr/>
        <w:t>Se define un marco formal de evaluación que integra criterios de resiliencia, consistencia, rendimiento y dependencia multicapa.</w:t>
      </w:r>
    </w:p>
    <w:p>
      <w:pPr>
        <w:pStyle w:val="bulletlist"/>
        <w:numPr>
          <w:ilvl w:val="0"/>
          <w:numId w:val="1"/>
        </w:numPr>
        <w:ind w:hanging="288" w:start="576"/>
        <w:rPr/>
      </w:pPr>
      <w:r>
        <w:rPr/>
        <w:t>Se introduce un modelo de interacción multicapa que describe cómo la lógica del operador, la semántica de la base de datos y el almacenamiento respaldado por CSI determinan el comportamiento del sistema.</w:t>
      </w:r>
    </w:p>
    <w:p>
      <w:pPr>
        <w:pStyle w:val="bulletlist"/>
        <w:numPr>
          <w:ilvl w:val="0"/>
          <w:numId w:val="1"/>
        </w:numPr>
        <w:ind w:hanging="288" w:start="576"/>
        <w:rPr/>
      </w:pPr>
      <w:r>
        <w:rPr/>
        <w:t>Se establecen invariantes del sistema orientados a caracterizar la corrección en términos de durabilidad, disponibilidad y consistencia.</w:t>
      </w:r>
    </w:p>
    <w:p>
      <w:pPr>
        <w:pStyle w:val="bulletlist"/>
        <w:numPr>
          <w:ilvl w:val="0"/>
          <w:numId w:val="1"/>
        </w:numPr>
        <w:ind w:hanging="288" w:start="576"/>
        <w:rPr/>
      </w:pPr>
      <w:r>
        <w:rPr/>
        <w:t xml:space="preserve">Se identifican brechas en el estado del arte que justifican una futura </w:t>
      </w:r>
      <w:r>
        <w:rPr>
          <w:highlight w:val="yellow"/>
        </w:rPr>
        <w:t xml:space="preserve">evaluación empírica basada en la inyección controlada de fallos.</w:t>
      </w:r>
    </w:p>
    <w:p>
      <w:pPr>
        <w:pStyle w:val="Heading1"/>
        <w:numPr>
          <w:ilvl w:val="0"/>
          <w:numId w:val="4"/>
        </w:numPr>
        <w:ind w:hanging="0"/>
        <w:rPr/>
      </w:pPr>
      <w:r>
        <w:rPr/>
        <w:t>Trabajos Relacionados</w:t>
      </w:r>
    </w:p>
    <w:p>
      <w:pPr>
        <w:pStyle w:val="BodyText"/>
        <w:rPr/>
      </w:pPr>
      <w:r>
        <w:rPr/>
        <w:t xml:space="preserve">La literatura existente en torno a este problema puede agruparse en tres líneas principales de investigación. Por un lado, los sistemas de orquestación como Borg y Omega sentaron las bases para la gestión de clústeres a gran escala, influyendo directamente en los principios de diseño adoptados posteriormente por Kubernetes [1], [2]. En este contexto, la Container Storage Interface (CSI) introduce una abstracción estandarizada para la </w:t>
      </w:r>
      <w:r>
        <w:rPr>
          <w:highlight w:val="yellow"/>
        </w:rPr>
        <w:t xml:space="preserve">gestión del almacenamiento persistente, lo que facilita la integración de backends heterogéneos</w:t>
      </w:r>
      <w:r>
        <w:rPr/>
        <w:t xml:space="preserve"> en entornos Kubernetes [3]. Asimismo, los enfoques declarativos para sistemas stateful han puesto de manifiesto la relevancia del patrón operator y de la lógica de reconciliación como mecanismo de control [5].</w:t>
      </w:r>
    </w:p>
    <w:p>
      <w:pPr>
        <w:pStyle w:val="BodyText"/>
        <w:rPr/>
      </w:pPr>
      <w:r>
        <w:rPr>
          <w:highlight w:val="yellow"/>
        </w:rPr>
        <w:t xml:space="preserve">En paralelo, la investigación sobre bases de datos distribuidas ha abordado</w:t>
      </w:r>
      <w:r>
        <w:rPr/>
        <w:t xml:space="preserve"> de manera extensa los problemas de consistencia, resiliencia y tolerancia a fallos. Sistemas como CockroachDB evidencian la importancia de la replicación en entornos distribuidos, mientras que los fundamentos teóricos asociados al teorema CAP establecen los límites entre consistencia, disponibilidad y tolerancia a particiones [4], [6], [7]. Estudios más recientes profundizan en modelos de consistencia, incluyendo la verificación formal de consistencia eventual fuerte [8], así como en enfoques probabilísticos para la evaluación de la resiliencia bajo fallos [9].</w:t>
      </w:r>
    </w:p>
    <w:p>
      <w:pPr>
        <w:pStyle w:val="BodyText"/>
        <w:rPr/>
      </w:pPr>
      <w:r>
        <w:rPr/>
        <w:t xml:space="preserve">Por otra parte, diversos trabajos han analizado mecanismos de recuperación, replicación y rendimiento en sistemas de bases de datos. En particular, los estudios basados en Write-Ahead Logging (WAL) destacan su papel central en la durabilidad y recuperación de datos [11], [12], mientras que evaluaciones comparativas de estrategias de replicación muestran su impacto en la calidad del failover y en la latencia de propagación [13]. Adicionalmente, investigaciones recientes han comenzado a explorar el despliegue de bases de datos en Kubernetes </w:t>
      </w:r>
      <w:r>
        <w:rPr>
          <w:highlight w:val="yellow"/>
        </w:rPr>
        <w:t xml:space="preserve">mediante operadores, lo que evidencia el creciente interés en la automatización de cargas stateful</w:t>
      </w:r>
      <w:r>
        <w:rPr/>
        <w:t xml:space="preserve"> [14], [15].</w:t>
      </w:r>
    </w:p>
    <w:p>
      <w:pPr>
        <w:pStyle w:val="BodyText"/>
        <w:rPr/>
      </w:pPr>
      <w:r>
        <w:rPr/>
        <w:t xml:space="preserve">Sin embargo, a pesar de estos avances, la literatura presenta una limitación significativa: la mayoría de los estudios analizan </w:t>
      </w:r>
      <w:r>
        <w:rPr>
          <w:highlight w:val="yellow"/>
        </w:rPr>
        <w:t xml:space="preserve">de forma independiente la capa de orquestación, la de almacenamiento o la de base de datos</w:t>
      </w:r>
      <w:r>
        <w:rPr/>
        <w:t xml:space="preserve">. </w:t>
      </w:r>
      <w:r>
        <w:rPr>
          <w:highlight w:val="yellow"/>
        </w:rPr>
        <w:t xml:space="preserve">En consecuencia, se carece de trabajos que aborden de manera integrada</w:t>
      </w:r>
      <w:r>
        <w:rPr/>
        <w:t xml:space="preserve"> la interacción entre operadores de PostgreSQL y sistemas de almacenamiento basados en CSI. Esta falta de análisis conjunto resulta especialmente relevante en escenarios de fallo, donde la interacción entre estas capas puede afectar directamente la consistencia, la resiliencia y el comportamiento de recuperación del sistema.</w:t>
      </w:r>
    </w:p>
    <w:p>
      <w:pPr>
        <w:pStyle w:val="Heading1"/>
        <w:numPr>
          <w:ilvl w:val="0"/>
          <w:numId w:val="4"/>
        </w:numPr>
        <w:ind w:hanging="0"/>
        <w:rPr>
          <w:lang w:val="es-VE"/>
        </w:rPr>
      </w:pPr>
      <w:r>
        <w:rPr>
          <w:lang w:val="es-VE"/>
          <w:highlight w:val="yellow"/>
        </w:rPr>
        <w:t xml:space="preserve">Modelo del Sistema y Marco de Evaluación</w:t>
      </w:r>
    </w:p>
    <w:p>
      <w:pPr>
        <w:pStyle w:val="Heading2"/>
        <w:numPr>
          <w:ilvl w:val="1"/>
          <w:numId w:val="4"/>
        </w:numPr>
        <w:rPr>
          <w:lang w:val="es-VE"/>
        </w:rPr>
      </w:pPr>
      <w:r>
        <w:rPr>
          <w:lang w:val="es-VE"/>
        </w:rPr>
        <w:t>Taxonomía de operadores y almacenamiento</w:t>
      </w:r>
    </w:p>
    <w:p>
      <w:pPr>
        <w:pStyle w:val="BodyText"/>
        <w:rPr/>
      </w:pPr>
      <w:bookmarkStart w:id="0" w:name="_Hlk225189949"/>
      <w:r>
        <w:rPr>
          <w:highlight w:val="yellow"/>
        </w:rPr>
        <w:t xml:space="preserve">Para contextualizar el modelo propuesto, se establece una clasificación</w:t>
      </w:r>
      <w:r>
        <w:rPr/>
        <w:t xml:space="preserve"> de los principales componentes del sistema en función de su diseño y comportamiento operativo</w:t>
      </w:r>
      <w:bookmarkEnd w:id="0"/>
      <w:r>
        <w:rPr/>
        <w:t>. Esta clasificación no solo permite organizar los elementos involucrados, sino que también facilita identificar diferencias relevantes que suelen pasar desapercibidas cuando se analizan de forma aislada.</w:t>
      </w:r>
    </w:p>
    <w:p>
      <w:pPr>
        <w:pStyle w:val="BodyText"/>
        <w:rPr/>
      </w:pPr>
      <w:r>
        <w:rPr/>
        <w:t xml:space="preserve">En el caso de los operadores de PostgreSQL, es posible distinguir tres enfoques predominantes. CloudNativePG se caracteriza por </w:t>
      </w:r>
      <w:r>
        <w:rPr>
          <w:highlight w:val="yellow"/>
        </w:rPr>
        <w:t xml:space="preserve">un enfoque claramente cloud-native, en el que la lógica del operador se integra estrechamente con las primitivas</w:t>
      </w:r>
      <w:r>
        <w:rPr/>
        <w:t xml:space="preserve"> y los bucles de reconciliación de Kubernetes. En contraste, Zalando Postgres Operator introduce una dependencia más explícita de </w:t>
      </w:r>
      <w:r>
        <w:rPr>
          <w:highlight w:val="yellow"/>
        </w:rPr>
        <w:t xml:space="preserve">herramientas externas de alta disponibilidad, en particular Patroni</w:t>
      </w:r>
      <w:r>
        <w:rPr/>
        <w:t xml:space="preserve">, que actúa como mecanismo de coordinación. Por su parte, Crunchy Postgres for Kubernetes adopta una posición intermedia, combinando capacidades nativas de Kubernetes con utilidades operativas adicionales. Estas diferencias no son meramente arquitectónicas; en la práctica, influyen en cómo se detectan fallos, se ejecutan procesos de conmutación por error (failover) y se gestionan las transiciones de estado [5], [14].</w:t>
      </w:r>
    </w:p>
    <w:p>
      <w:pPr>
        <w:pStyle w:val="BodyText"/>
        <w:rPr/>
      </w:pPr>
      <w:r>
        <w:rPr>
          <w:highlight w:val="yellow"/>
        </w:rPr>
        <w:t xml:space="preserve">En la capa de almacenamiento se identifican tres categorías</w:t>
      </w:r>
      <w:r>
        <w:rPr/>
        <w:t xml:space="preserve"> principales respaldadas por la Container Storage Interface (CSI) [3]. El almacenamiento local (CSI local) se distingue por su baja latencia y simplicidad operativa, aunque introduce una mayor sensibilidad a fallos a nivel de nodo. Por otro lado, el almacenamiento distribuido (CSI distribuido), como Ceph o Longhorn, ofrece mayor tolerancia a fallos mediante replicación, a costa de incrementar la complejidad operativa y la latencia. Finalmente, el almacenamiento en red (CSI en red) permite un mayor desacoplamiento topológico, aunque su comportamiento puede variar significativamente en función de las condiciones de red y de la infraestructura subyacente.</w:t>
      </w:r>
    </w:p>
    <w:p>
      <w:pPr>
        <w:pStyle w:val="BodyText"/>
        <w:rPr/>
      </w:pPr>
      <w:r>
        <w:rPr/>
        <w:t xml:space="preserve">En conjunto, esta taxonomía establece el contexto sobre el cual se construye el modelo del sistema y permite interpretar, de forma más precisa, </w:t>
      </w:r>
      <w:r>
        <w:rPr>
          <w:highlight w:val="yellow"/>
        </w:rPr>
        <w:t xml:space="preserve">las variaciones de comportamiento observadas en distintos escenarios.</w:t>
      </w:r>
    </w:p>
    <w:p>
      <w:pPr>
        <w:pStyle w:val="Heading2"/>
        <w:numPr>
          <w:ilvl w:val="1"/>
          <w:numId w:val="4"/>
        </w:numPr>
        <w:rPr/>
      </w:pPr>
      <w:r>
        <w:rPr/>
        <w:t>Modelo del sistema</w:t>
      </w:r>
    </w:p>
    <w:p>
      <w:pPr>
        <w:pStyle w:val="BodyText"/>
        <w:rPr/>
      </w:pPr>
      <w:r>
        <w:rPr>
          <w:lang w:val="es-VE"/>
        </w:rPr>
        <w:t xml:space="preserve"> </w:t>
      </w:r>
      <w:r>
        <w:rPr/>
        <w:t>A partir de la taxonomía descrita, el sistema se modela como una tupla:</w:t>
      </w:r>
    </w:p>
    <w:p>
      <w:pPr>
        <w:pStyle w:val="BodyText"/>
        <w:rPr/>
      </w:pPr>
      <w:r>
        <w:rPr/>
        <w:t>S = (O, K, C, D)</w:t>
      </w:r>
    </w:p>
    <w:p>
      <w:pPr>
        <w:pStyle w:val="BodyText"/>
        <w:rPr/>
      </w:pPr>
      <w:r>
        <w:rPr/>
        <w:t>Donde O representa la lógica del operador de PostgreSQL, K el plano de control de Kubernetes, C la capa de almacenamiento gestionada mediante CSI y D el motor de base de datos. Esta representación se apoya en la arquitectura de sistemas orquestados en Kubernetes [1], [2], en el modelo de abstracción de almacenamiento definido por CSI [3] y en enfoques declarativos para la gestión de sistemas con estado (stateful) [5].</w:t>
      </w:r>
    </w:p>
    <w:p>
      <w:pPr>
        <w:pStyle w:val="Normal"/>
        <w:jc w:val="both"/>
        <w:rPr>
          <w:spacing w:val="-1"/>
          <w:lang w:val="es-VE" w:eastAsia="x-none"/>
        </w:rPr>
      </w:pPr>
      <w:r>
        <w:rPr>
          <w:lang w:val="es-VE"/>
        </w:rPr>
        <w:t xml:space="preserve">Más que una formulación estrictamente matemática, </w:t>
      </w:r>
      <w:r>
        <w:rPr>
          <w:lang w:val="es-VE"/>
          <w:highlight w:val="yellow"/>
        </w:rPr>
        <w:t xml:space="preserve">este modelo pretende capturar de forma estructurada las interacciones clave</w:t>
      </w:r>
      <w:r>
        <w:rPr>
          <w:lang w:val="es-VE"/>
        </w:rPr>
        <w:t xml:space="preserve"> entre los distintos componentes. En particular, permite razonar sobre cómo decisiones en una capa pueden propagarse y afectar el comportamiento global del sistema bajo diferentes condiciones operativas.</w:t>
      </w:r>
      <w:r>
        <w:rPr>
          <w:highlight w:val="yellow"/>
        </w:rPr>
        <w:t xml:space="preserve"> La Fig. 1 ilustra las capas del modelo y sus principales interacciones.</w:t>
      </w:r>
    </w:p>
    <w:p>
      <w:pPr>
        <w:keepNext/>
        <w:spacing w:before="120" w:after="120"/>
        <w:jc w:val="center"/>
      </w:pPr>
      <w:r>
        <w:drawing>
          <wp:inline xmlns:wp="http://schemas.openxmlformats.org/drawingml/2006/wordprocessingDrawing" distT="0" distB="0" distL="0" distR="0">
            <wp:extent cx="2971800" cy="2600325"/>
            <wp:effectExtent l="0" t="0" r="0" b="0"/>
            <wp:docPr id="101" name="Fig1" descr="Modelo de interaccion multic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
                    <pic:cNvPicPr/>
                  </pic:nvPicPr>
                  <pic:blipFill>
                    <a:blip xmlns:r="http://schemas.openxmlformats.org/officeDocument/2006/relationships" r:embed="rId100"/>
                    <a:stretch>
                      <a:fillRect/>
                    </a:stretch>
                  </pic:blipFill>
                  <pic:spPr>
                    <a:xfrm>
                      <a:off x="0" y="0"/>
                      <a:ext cx="2971800" cy="2600325"/>
                    </a:xfrm>
                    <a:prstGeom prst="rect">
                      <a:avLst/>
                    </a:prstGeom>
                  </pic:spPr>
                </pic:pic>
              </a:graphicData>
            </a:graphic>
          </wp:inline>
        </w:drawing>
      </w:r>
    </w:p>
    <w:p>
      <w:pPr>
        <w:spacing w:before="60" w:after="200"/>
        <w:jc w:val="both"/>
        <w:rPr>
          <w:sz w:val="16"/>
          <w:szCs w:val="16"/>
        </w:rPr>
      </w:pPr>
      <w:r>
        <w:rPr>
          <w:sz w:val="16"/>
          <w:szCs w:val="16"/>
        </w:rPr>
        <w:t xml:space="preserve">Fig. 1. Modelo de interacción multicapa S = (O, K, C, D): el operador coordina el ciclo de vida y el failover a través del plano de control; el motor de base de datos persiste el WAL sobre el almacenamiento respaldado por CSI. El comportamiento emergente se captura mediante I(S) = f(O × C × D).</w:t>
      </w:r>
    </w:p>
    <w:p>
      <w:pPr>
        <w:pStyle w:val="Normal"/>
        <w:jc w:val="both"/>
        <w:rPr>
          <w:spacing w:val="-1"/>
          <w:lang w:val="x-none" w:eastAsia="x-none"/>
        </w:rPr>
      </w:pPr>
      <w:r>
        <w:rPr>
          <w:spacing w:val="-1"/>
          <w:lang w:val="x-none" w:eastAsia="x-none"/>
        </w:rPr>
      </w:r>
    </w:p>
    <w:p>
      <w:pPr>
        <w:pStyle w:val="Heading2"/>
        <w:numPr>
          <w:ilvl w:val="1"/>
          <w:numId w:val="4"/>
        </w:numPr>
        <w:rPr/>
      </w:pPr>
      <w:r>
        <w:rPr/>
        <w:t>Dimensiones de evaluación</w:t>
      </w:r>
    </w:p>
    <w:p>
      <w:pPr>
        <w:pStyle w:val="BodyText"/>
        <w:rPr/>
      </w:pPr>
      <w:r>
        <w:rPr/>
        <w:t>Con base en el modelo anterior, se definen cuatro dimensiones principales que permiten evaluar el comportamiento del sistema desde diferentes perspectivas:</w:t>
      </w:r>
    </w:p>
    <w:p>
      <w:pPr>
        <w:pStyle w:val="BodyText"/>
        <w:numPr>
          <w:ilvl w:val="0"/>
          <w:numId w:val="1"/>
        </w:numPr>
        <w:rPr/>
      </w:pPr>
      <w:r>
        <w:rPr/>
        <w:t xml:space="preserve">Resiliencia: se modela como R(S) = f(F, T_recuperación, A), donde F representa el tipo de fallo, T_recuperación el tiempo necesario para restablecer el servicio y A el nivel de disponibilidad alcanzado tras la recuperación. </w:t>
      </w:r>
      <w:r>
        <w:rPr>
          <w:highlight w:val="yellow"/>
        </w:rPr>
        <w:t xml:space="preserve">Este enfoque es consistente con modelos probabilísticos</w:t>
      </w:r>
      <w:r>
        <w:rPr/>
        <w:t xml:space="preserve"> de resiliencia en sistemas distribuidos [9].</w:t>
      </w:r>
    </w:p>
    <w:p>
      <w:pPr>
        <w:pStyle w:val="BodyText"/>
        <w:numPr>
          <w:ilvl w:val="0"/>
          <w:numId w:val="1"/>
        </w:numPr>
        <w:rPr/>
      </w:pPr>
      <w:r>
        <w:rPr/>
        <w:t>Consistencia: se expresa como C(S) = f(Tx_confirmadas, Tx_visibles), estableciendo como condición fundamental que toda transacción confirmada debe permanecer visible después de un evento de fallo. Este planteamiento se fundamenta en los principios de consistencia en sistemas distribuidos y en el teorema CAP [6], [7].</w:t>
      </w:r>
    </w:p>
    <w:p>
      <w:pPr>
        <w:pStyle w:val="BodyText"/>
        <w:numPr>
          <w:ilvl w:val="0"/>
          <w:numId w:val="1"/>
        </w:numPr>
        <w:rPr/>
      </w:pPr>
      <w:r>
        <w:rPr/>
        <w:t xml:space="preserve">Rendimiento: se aproxima mediante </w:t>
      </w:r>
      <w:r>
        <w:rPr>
          <w:highlight w:val="yellow"/>
        </w:rPr>
        <w:t xml:space="preserve">P(S) = f(latencia, throughput), lo que refleja cómo las decisiones de diseño</w:t>
      </w:r>
      <w:r>
        <w:rPr/>
        <w:t xml:space="preserve"> y las características del almacenamiento influyen en la eficiencia del sistema, en línea con estudios comparativos de arquitecturas de bases de datos [10].</w:t>
      </w:r>
    </w:p>
    <w:p>
      <w:pPr>
        <w:pStyle w:val="BodyText"/>
        <w:numPr>
          <w:ilvl w:val="0"/>
          <w:numId w:val="1"/>
        </w:numPr>
        <w:rPr/>
      </w:pPr>
      <w:r>
        <w:rPr/>
        <w:t xml:space="preserve">Interacción multicapa: se representa como I(S) = f(O × C × D), con el propósito de capturar la dependencia entre la lógica del operador, el comportamiento del almacenamiento y la semántica de la base de datos. Esta dimensión </w:t>
      </w:r>
      <w:r>
        <w:rPr>
          <w:highlight w:val="yellow"/>
        </w:rPr>
        <w:t xml:space="preserve">introduce una perspectiva integradora que trasciende los enfoques tradicionales</w:t>
      </w:r>
      <w:r>
        <w:rPr/>
        <w:t xml:space="preserve">, en los que dichas capas suelen analizarse por separado.</w:t>
      </w:r>
    </w:p>
    <w:p>
      <w:pPr>
        <w:pStyle w:val="BodyText"/>
        <w:rPr/>
      </w:pPr>
      <w:r>
        <w:rPr/>
        <w:t xml:space="preserve">En conjunto, estas dimensiones permiten evaluar el sistema de forma más completa, </w:t>
      </w:r>
      <w:r>
        <w:rPr>
          <w:highlight w:val="yellow"/>
        </w:rPr>
        <w:t xml:space="preserve">especialmente en escenarios en los que intervienen fallos o variaciones</w:t>
      </w:r>
      <w:r>
        <w:rPr/>
        <w:t xml:space="preserve"> en la infraestructura subyacente.</w:t>
      </w:r>
    </w:p>
    <w:p>
      <w:pPr>
        <w:pStyle w:val="Heading2"/>
        <w:numPr>
          <w:ilvl w:val="1"/>
          <w:numId w:val="4"/>
        </w:numPr>
        <w:rPr/>
      </w:pPr>
      <w:r>
        <w:rPr/>
        <w:t>Invariantes del sistema</w:t>
      </w:r>
    </w:p>
    <w:p>
      <w:pPr>
        <w:pStyle w:val="BodyText"/>
        <w:rPr>
          <w:lang w:val="es-VE"/>
        </w:rPr>
      </w:pPr>
      <w:r>
        <w:rPr/>
        <w:t>El modelo se complementa con un conjunto de invariantes que permiten caracterizar un comportamiento aceptable del sistema bajo condiciones normales y de fallo</w:t>
      </w:r>
      <w:r>
        <w:rPr>
          <w:lang w:val="es-VE"/>
        </w:rPr>
        <w:t>:</w:t>
      </w:r>
    </w:p>
    <w:p>
      <w:pPr>
        <w:pStyle w:val="bulletlist"/>
        <w:numPr>
          <w:ilvl w:val="0"/>
          <w:numId w:val="1"/>
        </w:numPr>
        <w:rPr/>
      </w:pPr>
      <w:r>
        <w:rPr/>
        <w:t>Invariante de consistencia: toda transacción confirmada debe permanecer accesible tras un proceso de recuperación, en concordancia con los modelos de consistencia en sistemas distribuidos [6].</w:t>
      </w:r>
    </w:p>
    <w:p>
      <w:pPr>
        <w:pStyle w:val="bulletlist"/>
        <w:numPr>
          <w:ilvl w:val="0"/>
          <w:numId w:val="1"/>
        </w:numPr>
        <w:rPr/>
      </w:pPr>
      <w:r>
        <w:rPr/>
        <w:t xml:space="preserve">Invariante de disponibilidad: el tiempo de recuperación (RTO) debe mantenerse </w:t>
      </w:r>
      <w:r>
        <w:rPr>
          <w:highlight w:val="yellow"/>
        </w:rPr>
        <w:t xml:space="preserve">dentro de un umbral aceptable, conforme a criterios ampliamente utilizados</w:t>
      </w:r>
      <w:r>
        <w:rPr/>
        <w:t xml:space="preserve"> en estudios de resiliencia [9].</w:t>
      </w:r>
    </w:p>
    <w:p>
      <w:pPr>
        <w:pStyle w:val="bulletlist"/>
        <w:numPr>
          <w:ilvl w:val="0"/>
          <w:numId w:val="1"/>
        </w:numPr>
        <w:rPr/>
      </w:pPr>
      <w:r>
        <w:rPr/>
        <w:t>Invariante de durabilidad: toda operación registrada en el log de escritura anticipada (WAL) debe ser recuperable tras un fallo, tal como se establece en estudios sobre mecanismos de recuperación en bases de datos [11], [12].</w:t>
      </w:r>
    </w:p>
    <w:p>
      <w:pPr>
        <w:pStyle w:val="BodyText"/>
        <w:rPr/>
      </w:pPr>
      <w:bookmarkStart w:id="1" w:name="_Hlk225191211"/>
      <w:bookmarkEnd w:id="1"/>
      <w:r>
        <w:rPr/>
        <w:t xml:space="preserve">Estos invariantes no solo proporcionan un marco formal para evaluar la corrección del sistema, sino que también permiten vincular este análisis teórico </w:t>
      </w:r>
      <w:r>
        <w:rPr>
          <w:highlight w:val="yellow"/>
        </w:rPr>
        <w:t xml:space="preserve">con una futura validación empírica, en la que cada uno de ellos puede operacionalizarse mediante métricas observables</w:t>
      </w:r>
      <w:r>
        <w:rPr/>
        <w:t xml:space="preserve"> como RPO, latencia de failover o pérdida de transacciones.</w:t>
      </w:r>
    </w:p>
    <w:p>
      <w:pPr>
        <w:pStyle w:val="Heading1"/>
        <w:numPr>
          <w:ilvl w:val="0"/>
          <w:numId w:val="4"/>
        </w:numPr>
        <w:ind w:hanging="0"/>
        <w:rPr>
          <w:lang w:val="es-VE"/>
        </w:rPr>
      </w:pPr>
      <w:bookmarkStart w:id="2" w:name="_Hlk225191211"/>
      <w:bookmarkStart w:id="3" w:name="_Hlk225192021"/>
      <w:bookmarkEnd w:id="2"/>
      <w:r>
        <w:rPr>
          <w:lang w:val="es-VE"/>
          <w:highlight w:val="yellow"/>
        </w:rPr>
        <w:t xml:space="preserve">Análisis Comparativo y Discusión de Escenarios</w:t>
      </w:r>
      <w:bookmarkEnd w:id="3"/>
    </w:p>
    <w:p>
      <w:pPr>
        <w:pStyle w:val="Heading2"/>
        <w:numPr>
          <w:ilvl w:val="1"/>
          <w:numId w:val="4"/>
        </w:numPr>
        <w:rPr>
          <w:lang w:val="es-VE"/>
        </w:rPr>
      </w:pPr>
      <w:r>
        <w:rPr>
          <w:lang w:val="es-VE"/>
        </w:rPr>
        <w:t>Comparación entre operadores de PostgreSQL</w:t>
      </w:r>
    </w:p>
    <w:p>
      <w:pPr>
        <w:pStyle w:val="BodyText"/>
        <w:rPr>
          <w:lang w:val="es-VE"/>
        </w:rPr>
      </w:pPr>
      <w:r>
        <w:rPr>
          <w:lang w:val="es-VE"/>
        </w:rPr>
        <w:t xml:space="preserve">A partir de la taxonomía definida en la sección anterior, es posible identificar diferencias relevantes en el comportamiento </w:t>
      </w:r>
      <w:r>
        <w:rPr>
          <w:lang w:val="es-VE"/>
          <w:highlight w:val="yellow"/>
        </w:rPr>
        <w:t xml:space="preserve">de los operadores de PostgreSQL en distintos escenarios operativos</w:t>
      </w:r>
      <w:r>
        <w:rPr>
          <w:lang w:val="es-VE"/>
        </w:rPr>
        <w:t xml:space="preserve">. En particular, las variaciones en el diseño del plano de control y </w:t>
      </w:r>
      <w:r>
        <w:rPr>
          <w:lang w:val="es-VE"/>
          <w:highlight w:val="yellow"/>
        </w:rPr>
        <w:t xml:space="preserve">en el modelo de dependencias influyen directamente en la gestión</w:t>
      </w:r>
      <w:r>
        <w:rPr>
          <w:lang w:val="es-VE"/>
        </w:rPr>
        <w:t xml:space="preserve"> de eventos de fallo y en los procesos de recuperación.</w:t>
      </w:r>
    </w:p>
    <w:p>
      <w:pPr>
        <w:pStyle w:val="BodyText"/>
        <w:rPr>
          <w:lang w:val="es-VE"/>
        </w:rPr>
      </w:pPr>
      <w:r>
        <w:rPr>
          <w:lang w:val="es-VE"/>
        </w:rPr>
        <w:t>Los operadores con enfoque cloud-native, como CloudNativePG, tienden a integrarse de forma más estrecha con los mecanismos de Kubernetes, lo que favorece una mayor coherencia con el ciclo de vida de los recursos del clúster [5], [14]. En contraste, soluciones como Zalando Postgres Operator, al depender de herramientas externas como Patroni, introducen un nivel adicional de coordinación que puede afectar tanto la latencia de detección de fallos como los tiempos de promoción. Por su parte, enfoques híbridos como Crunchy Postgres presentan un comportamiento intermedio, combinando automatización nativa con herramientas operativas más avanzadas.</w:t>
      </w:r>
    </w:p>
    <w:p>
      <w:pPr>
        <w:pStyle w:val="BodyText"/>
        <w:rPr/>
      </w:pPr>
      <w:r>
        <w:rPr>
          <w:lang w:val="es-VE"/>
        </w:rPr>
        <w:t>Estas diferencias sugieren que la resiliencia del sistema, expresada como R(S), no depende únicamente del operador en sí, sino de cómo este se articula con los mecanismos de coordinación, replicación y recuperación, lo cual ha sido ampliamente discutido en sistemas distribuidos y plataformas stateful [5], [14].</w:t>
      </w:r>
    </w:p>
    <w:p>
      <w:pPr>
        <w:pStyle w:val="Heading2"/>
        <w:numPr>
          <w:ilvl w:val="1"/>
          <w:numId w:val="4"/>
        </w:numPr>
        <w:rPr>
          <w:lang w:val="es-VE"/>
        </w:rPr>
      </w:pPr>
      <w:r>
        <w:rPr>
          <w:lang w:val="es-VE"/>
        </w:rPr>
        <w:t>Impacto del tipo de almacenamiento CSI</w:t>
      </w:r>
    </w:p>
    <w:p>
      <w:pPr>
        <w:pStyle w:val="BodyText"/>
        <w:rPr/>
      </w:pPr>
      <w:r>
        <w:rPr/>
        <w:t xml:space="preserve">El tipo de almacenamiento introduce variaciones significativas </w:t>
      </w:r>
      <w:r>
        <w:rPr>
          <w:highlight w:val="yellow"/>
        </w:rPr>
        <w:t xml:space="preserve">en el comportamiento del sistema, particularmente en la latencia, la durabilidad y el dominio de fallo</w:t>
      </w:r>
      <w:r>
        <w:rPr/>
        <w:t xml:space="preserve">.</w:t>
      </w:r>
    </w:p>
    <w:p>
      <w:pPr>
        <w:pStyle w:val="BodyText"/>
        <w:rPr/>
      </w:pPr>
      <w:r>
        <w:rPr/>
        <w:t xml:space="preserve">El uso de almacenamiento local (CSI local) tiende a reducir la latencia, lo que puede favorecer el rendimiento P(S). No obstante, esta ventaja se ve limitada por una mayor exposición a fallos a nivel de nodo, lo que puede afectar negativamente la resiliencia R(S). En cambio, el almacenamiento distribuido (CSI distribuido) ofrece mayores garantías de persistencia y replicación, lo que reduce el riesgo de pérdida de datos, aunque </w:t>
      </w:r>
      <w:r>
        <w:rPr>
          <w:highlight w:val="yellow"/>
        </w:rPr>
        <w:t xml:space="preserve">introduce latencias adicionales que pueden afectar la visibilidad de las transacciones</w:t>
      </w:r>
      <w:r>
        <w:rPr/>
        <w:t xml:space="preserve">, en línea con los compromisos descritos en modelos de consistencia distribuida [6], [7].</w:t>
      </w:r>
    </w:p>
    <w:p>
      <w:pPr>
        <w:pStyle w:val="BodyText"/>
        <w:rPr/>
      </w:pPr>
      <w:r>
        <w:rPr/>
        <w:t>Por otro lado, el almacenamiento en red presenta un comportamiento menos predecible, ya que depende en gran medida de factores externos como la conectividad y la estabilidad de la infraestructura. Esta dependencia introduce variabilidad en la interacción multicapa I(S), especialmente en escenarios de carga elevada o fallos parciales, lo cual puede afectar tanto la disponibilidad como el tiempo de recuperación [9].</w:t>
      </w:r>
    </w:p>
    <w:p>
      <w:pPr>
        <w:pStyle w:val="Heading2"/>
        <w:numPr>
          <w:ilvl w:val="1"/>
          <w:numId w:val="4"/>
        </w:numPr>
        <w:rPr/>
      </w:pPr>
      <w:r>
        <w:rPr/>
        <w:t>Interacción operador–almacenamiento</w:t>
      </w:r>
    </w:p>
    <w:p>
      <w:pPr>
        <w:pStyle w:val="BodyText"/>
        <w:rPr/>
      </w:pPr>
      <w:r>
        <w:rPr>
          <w:highlight w:val="yellow"/>
        </w:rPr>
        <w:t xml:space="preserve">Uno de los aspectos más relevantes que surge de este análisis</w:t>
      </w:r>
      <w:r>
        <w:rPr/>
        <w:t xml:space="preserve"> es la dependencia entre el operador y el tipo de almacenamiento utilizado. Esta interacción resulta especialmente crítica, ya que el comportamiento del sistema no puede explicarse de forma aislada en cada capa.</w:t>
      </w:r>
      <w:r>
        <w:rPr>
          <w:highlight w:val="yellow"/>
        </w:rPr>
        <w:t xml:space="preserve"> La Tabla I sintetiza, a partir del comportamiento documentado de CloudNativePG, Zalando Postgres Operator y Crunchy Postgres for Kubernetes [5], [14], la distribución de responsabilidades de detección y recuperación entre capas para los principales tipos de fallo.</w:t>
      </w:r>
    </w:p>
    <w:p>
      <w:pPr>
        <w:keepNext/>
        <w:spacing w:before="160" w:after="80"/>
        <w:jc w:val="center"/>
        <w:rPr>
          <w:smallCaps/>
          <w:sz w:val="16"/>
          <w:szCs w:val="16"/>
        </w:rPr>
      </w:pPr>
      <w:r>
        <w:rPr>
          <w:smallCaps/>
          <w:sz w:val="16"/>
          <w:szCs w:val="16"/>
        </w:rPr>
        <w:t xml:space="preserve">Tabla I. Responsabilidad de detección y recuperación por capa y tipo de fallo</w:t>
      </w:r>
    </w:p>
    <w:tbl>
      <w:tblPr>
        <w:tblW w:w="5000" w:type="dxa"/>
        <w:jc w:val="center"/>
        <w:tblBorders>
          <w:top w:val="single" w:sz="8" w:space="0" w:color="000000"/>
          <w:bottom w:val="single" w:sz="8" w:space="0" w:color="000000"/>
          <w:insideH w:val="single" w:sz="4" w:space="0" w:color="000000"/>
        </w:tblBorders>
        <w:tblLayout w:type="fixed"/>
      </w:tblPr>
      <w:tblGrid>
        <w:gridCol w:w="860"/>
        <w:gridCol w:w="1360"/>
        <w:gridCol w:w="1330"/>
        <w:gridCol w:w="1440"/>
      </w:tblGrid>
      <w:tr>
        <w:trPr>
          <w:tblHeader/>
        </w:trPr>
        <w:tc>
          <w:tcPr>
            <w:tcW w:w="860" w:type="dxa"/>
            <w:tcMar>
              <w:top w:w="30" w:type="dxa"/>
              <w:left w:w="60" w:type="dxa"/>
              <w:bottom w:w="30" w:type="dxa"/>
              <w:right w:w="60" w:type="dxa"/>
            </w:tcMar>
            <w:vAlign w:val="center"/>
          </w:tcPr>
          <w:p>
            <w:pPr>
              <w:spacing w:before="20" w:after="20" w:line="200" w:lineRule="auto"/>
              <w:jc w:val="left"/>
              <w:rPr>
                <w:b/>
                <w:sz w:val="14"/>
                <w:szCs w:val="14"/>
              </w:rPr>
            </w:pPr>
            <w:r>
              <w:rPr>
                <w:b/>
                <w:sz w:val="14"/>
                <w:szCs w:val="14"/>
              </w:rPr>
              <w:t xml:space="preserve">Tipo de fallo</w:t>
            </w:r>
          </w:p>
        </w:tc>
        <w:tc>
          <w:tcPr>
            <w:tcW w:w="1360" w:type="dxa"/>
            <w:tcMar>
              <w:top w:w="30" w:type="dxa"/>
              <w:left w:w="60" w:type="dxa"/>
              <w:bottom w:w="30" w:type="dxa"/>
              <w:right w:w="60" w:type="dxa"/>
            </w:tcMar>
            <w:vAlign w:val="center"/>
          </w:tcPr>
          <w:p>
            <w:pPr>
              <w:spacing w:before="20" w:after="20" w:line="200" w:lineRule="auto"/>
              <w:jc w:val="left"/>
              <w:rPr>
                <w:b/>
                <w:sz w:val="14"/>
                <w:szCs w:val="14"/>
              </w:rPr>
            </w:pPr>
            <w:r>
              <w:rPr>
                <w:b/>
                <w:sz w:val="14"/>
                <w:szCs w:val="14"/>
              </w:rPr>
              <w:t xml:space="preserve">Operador (O)</w:t>
            </w:r>
          </w:p>
        </w:tc>
        <w:tc>
          <w:tcPr>
            <w:tcW w:w="1330" w:type="dxa"/>
            <w:tcMar>
              <w:top w:w="30" w:type="dxa"/>
              <w:left w:w="60" w:type="dxa"/>
              <w:bottom w:w="30" w:type="dxa"/>
              <w:right w:w="60" w:type="dxa"/>
            </w:tcMar>
            <w:vAlign w:val="center"/>
          </w:tcPr>
          <w:p>
            <w:pPr>
              <w:spacing w:before="20" w:after="20" w:line="200" w:lineRule="auto"/>
              <w:jc w:val="left"/>
              <w:rPr>
                <w:b/>
                <w:sz w:val="14"/>
                <w:szCs w:val="14"/>
              </w:rPr>
            </w:pPr>
            <w:r>
              <w:rPr>
                <w:b/>
                <w:sz w:val="14"/>
                <w:szCs w:val="14"/>
              </w:rPr>
              <w:t xml:space="preserve">Kubernetes (K)</w:t>
            </w:r>
          </w:p>
        </w:tc>
        <w:tc>
          <w:tcPr>
            <w:tcW w:w="1440" w:type="dxa"/>
            <w:tcMar>
              <w:top w:w="30" w:type="dxa"/>
              <w:left w:w="60" w:type="dxa"/>
              <w:bottom w:w="30" w:type="dxa"/>
              <w:right w:w="60" w:type="dxa"/>
            </w:tcMar>
            <w:vAlign w:val="center"/>
          </w:tcPr>
          <w:p>
            <w:pPr>
              <w:spacing w:before="20" w:after="20" w:line="200" w:lineRule="auto"/>
              <w:jc w:val="left"/>
              <w:rPr>
                <w:b/>
                <w:sz w:val="14"/>
                <w:szCs w:val="14"/>
              </w:rPr>
            </w:pPr>
            <w:r>
              <w:rPr>
                <w:b/>
                <w:sz w:val="14"/>
                <w:szCs w:val="14"/>
              </w:rPr>
              <w:t xml:space="preserve">Almacenamiento CSI (C)</w:t>
            </w:r>
          </w:p>
        </w:tc>
      </w:tr>
      <w:tr>
        <w:tc>
          <w:tcPr>
            <w:tcW w:w="860" w:type="dxa"/>
            <w:tcMar>
              <w:top w:w="30" w:type="dxa"/>
              <w:left w:w="60" w:type="dxa"/>
              <w:bottom w:w="30" w:type="dxa"/>
              <w:right w:w="60" w:type="dxa"/>
            </w:tcMar>
            <w:vAlign w:val="center"/>
          </w:tcPr>
          <w:p>
            <w:pPr>
              <w:spacing w:before="20" w:after="20" w:line="200" w:lineRule="auto"/>
              <w:jc w:val="left"/>
              <w:rPr>
                <w:b/>
                <w:sz w:val="14"/>
                <w:szCs w:val="14"/>
              </w:rPr>
            </w:pPr>
            <w:r>
              <w:rPr>
                <w:b/>
                <w:sz w:val="14"/>
                <w:szCs w:val="14"/>
              </w:rPr>
              <w:t xml:space="preserve">Fallo del pod primario</w:t>
            </w:r>
          </w:p>
        </w:tc>
        <w:tc>
          <w:tcPr>
            <w:tcW w:w="1360" w:type="dxa"/>
            <w:tcMar>
              <w:top w:w="30" w:type="dxa"/>
              <w:left w:w="60" w:type="dxa"/>
              <w:bottom w:w="30" w:type="dxa"/>
              <w:right w:w="60" w:type="dxa"/>
            </w:tcMar>
            <w:vAlign w:val="center"/>
          </w:tcPr>
          <w:p>
            <w:pPr>
              <w:spacing w:before="20" w:after="20" w:line="200" w:lineRule="auto"/>
              <w:jc w:val="left"/>
              <w:rPr>
                <w:sz w:val="14"/>
                <w:szCs w:val="14"/>
              </w:rPr>
            </w:pPr>
            <w:r>
              <w:rPr>
                <w:sz w:val="14"/>
                <w:szCs w:val="14"/>
              </w:rPr>
              <w:t xml:space="preserve">Detecta la pérdida del líder y promueve una réplica (CloudNativePG: gestor de instancias propio; Zalando y Crunchy: Patroni)</w:t>
            </w:r>
          </w:p>
        </w:tc>
        <w:tc>
          <w:tcPr>
            <w:tcW w:w="1330" w:type="dxa"/>
            <w:tcMar>
              <w:top w:w="30" w:type="dxa"/>
              <w:left w:w="60" w:type="dxa"/>
              <w:bottom w:w="30" w:type="dxa"/>
              <w:right w:w="60" w:type="dxa"/>
            </w:tcMar>
            <w:vAlign w:val="center"/>
          </w:tcPr>
          <w:p>
            <w:pPr>
              <w:spacing w:before="20" w:after="20" w:line="200" w:lineRule="auto"/>
              <w:jc w:val="left"/>
              <w:rPr>
                <w:sz w:val="14"/>
                <w:szCs w:val="14"/>
              </w:rPr>
            </w:pPr>
            <w:r>
              <w:rPr>
                <w:sz w:val="14"/>
                <w:szCs w:val="14"/>
              </w:rPr>
              <w:t xml:space="preserve">Reinicia el pod (kubelet) y actualiza Services y Endpoints hacia el nuevo primario</w:t>
            </w:r>
          </w:p>
        </w:tc>
        <w:tc>
          <w:tcPr>
            <w:tcW w:w="1440" w:type="dxa"/>
            <w:tcMar>
              <w:top w:w="30" w:type="dxa"/>
              <w:left w:w="60" w:type="dxa"/>
              <w:bottom w:w="30" w:type="dxa"/>
              <w:right w:w="60" w:type="dxa"/>
            </w:tcMar>
            <w:vAlign w:val="center"/>
          </w:tcPr>
          <w:p>
            <w:pPr>
              <w:spacing w:before="20" w:after="20" w:line="200" w:lineRule="auto"/>
              <w:jc w:val="left"/>
              <w:rPr>
                <w:sz w:val="14"/>
                <w:szCs w:val="14"/>
              </w:rPr>
            </w:pPr>
            <w:r>
              <w:rPr>
                <w:sz w:val="14"/>
                <w:szCs w:val="14"/>
              </w:rPr>
              <w:t xml:space="preserve">Reasocia el PVC existente al pod recreado; sin acciones sobre los datos</w:t>
            </w:r>
          </w:p>
        </w:tc>
      </w:tr>
      <w:tr>
        <w:tc>
          <w:tcPr>
            <w:tcW w:w="860" w:type="dxa"/>
            <w:tcMar>
              <w:top w:w="30" w:type="dxa"/>
              <w:left w:w="60" w:type="dxa"/>
              <w:bottom w:w="30" w:type="dxa"/>
              <w:right w:w="60" w:type="dxa"/>
            </w:tcMar>
            <w:vAlign w:val="center"/>
          </w:tcPr>
          <w:p>
            <w:pPr>
              <w:spacing w:before="20" w:after="20" w:line="200" w:lineRule="auto"/>
              <w:jc w:val="left"/>
              <w:rPr>
                <w:b/>
                <w:sz w:val="14"/>
                <w:szCs w:val="14"/>
              </w:rPr>
            </w:pPr>
            <w:r>
              <w:rPr>
                <w:b/>
                <w:sz w:val="14"/>
                <w:szCs w:val="14"/>
              </w:rPr>
              <w:t xml:space="preserve">Fallo de nodo</w:t>
            </w:r>
          </w:p>
        </w:tc>
        <w:tc>
          <w:tcPr>
            <w:tcW w:w="1360" w:type="dxa"/>
            <w:tcMar>
              <w:top w:w="30" w:type="dxa"/>
              <w:left w:w="60" w:type="dxa"/>
              <w:bottom w:w="30" w:type="dxa"/>
              <w:right w:w="60" w:type="dxa"/>
            </w:tcMar>
            <w:vAlign w:val="center"/>
          </w:tcPr>
          <w:p>
            <w:pPr>
              <w:spacing w:before="20" w:after="20" w:line="200" w:lineRule="auto"/>
              <w:jc w:val="left"/>
              <w:rPr>
                <w:sz w:val="14"/>
                <w:szCs w:val="14"/>
              </w:rPr>
            </w:pPr>
            <w:r>
              <w:rPr>
                <w:sz w:val="14"/>
                <w:szCs w:val="14"/>
              </w:rPr>
              <w:t xml:space="preserve">Ordena la promoción de una réplica si el primario residía en el nodo afectado</w:t>
            </w:r>
          </w:p>
        </w:tc>
        <w:tc>
          <w:tcPr>
            <w:tcW w:w="1330" w:type="dxa"/>
            <w:tcMar>
              <w:top w:w="30" w:type="dxa"/>
              <w:left w:w="60" w:type="dxa"/>
              <w:bottom w:w="30" w:type="dxa"/>
              <w:right w:w="60" w:type="dxa"/>
            </w:tcMar>
            <w:vAlign w:val="center"/>
          </w:tcPr>
          <w:p>
            <w:pPr>
              <w:spacing w:before="20" w:after="20" w:line="200" w:lineRule="auto"/>
              <w:jc w:val="left"/>
              <w:rPr>
                <w:sz w:val="14"/>
                <w:szCs w:val="14"/>
              </w:rPr>
            </w:pPr>
            <w:r>
              <w:rPr>
                <w:sz w:val="14"/>
                <w:szCs w:val="14"/>
              </w:rPr>
              <w:t xml:space="preserve">Marca el nodo NotReady (≈40 s) y desaloja los pods tras el umbral de tolerancia (≈5 min por defecto)</w:t>
            </w:r>
          </w:p>
        </w:tc>
        <w:tc>
          <w:tcPr>
            <w:tcW w:w="1440" w:type="dxa"/>
            <w:tcMar>
              <w:top w:w="30" w:type="dxa"/>
              <w:left w:w="60" w:type="dxa"/>
              <w:bottom w:w="30" w:type="dxa"/>
              <w:right w:w="60" w:type="dxa"/>
            </w:tcMar>
            <w:vAlign w:val="center"/>
          </w:tcPr>
          <w:p>
            <w:pPr>
              <w:spacing w:before="20" w:after="20" w:line="200" w:lineRule="auto"/>
              <w:jc w:val="left"/>
              <w:rPr>
                <w:sz w:val="14"/>
                <w:szCs w:val="14"/>
              </w:rPr>
            </w:pPr>
            <w:r>
              <w:rPr>
                <w:sz w:val="14"/>
                <w:szCs w:val="14"/>
              </w:rPr>
              <w:t xml:space="preserve">Local: datos inaccesibles hasta recuperar el nodo; distribuido: las réplicas permiten readjuntar el volumen en otro nodo</w:t>
            </w:r>
          </w:p>
        </w:tc>
      </w:tr>
      <w:tr>
        <w:tc>
          <w:tcPr>
            <w:tcW w:w="860" w:type="dxa"/>
            <w:tcMar>
              <w:top w:w="30" w:type="dxa"/>
              <w:left w:w="60" w:type="dxa"/>
              <w:bottom w:w="30" w:type="dxa"/>
              <w:right w:w="60" w:type="dxa"/>
            </w:tcMar>
            <w:vAlign w:val="center"/>
          </w:tcPr>
          <w:p>
            <w:pPr>
              <w:spacing w:before="20" w:after="20" w:line="200" w:lineRule="auto"/>
              <w:jc w:val="left"/>
              <w:rPr>
                <w:b/>
                <w:sz w:val="14"/>
                <w:szCs w:val="14"/>
              </w:rPr>
            </w:pPr>
            <w:r>
              <w:rPr>
                <w:b/>
                <w:sz w:val="14"/>
                <w:szCs w:val="14"/>
              </w:rPr>
              <w:t xml:space="preserve">Fallo de disco / volumen</w:t>
            </w:r>
          </w:p>
        </w:tc>
        <w:tc>
          <w:tcPr>
            <w:tcW w:w="1360" w:type="dxa"/>
            <w:tcMar>
              <w:top w:w="30" w:type="dxa"/>
              <w:left w:w="60" w:type="dxa"/>
              <w:bottom w:w="30" w:type="dxa"/>
              <w:right w:w="60" w:type="dxa"/>
            </w:tcMar>
            <w:vAlign w:val="center"/>
          </w:tcPr>
          <w:p>
            <w:pPr>
              <w:spacing w:before="20" w:after="20" w:line="200" w:lineRule="auto"/>
              <w:jc w:val="left"/>
              <w:rPr>
                <w:sz w:val="14"/>
                <w:szCs w:val="14"/>
              </w:rPr>
            </w:pPr>
            <w:r>
              <w:rPr>
                <w:sz w:val="14"/>
                <w:szCs w:val="14"/>
              </w:rPr>
              <w:t xml:space="preserve">Recrea la instancia y solicita resincronización desde el primario o desde respaldo (Crunchy: pgBackRest)</w:t>
            </w:r>
          </w:p>
        </w:tc>
        <w:tc>
          <w:tcPr>
            <w:tcW w:w="1330" w:type="dxa"/>
            <w:tcMar>
              <w:top w:w="30" w:type="dxa"/>
              <w:left w:w="60" w:type="dxa"/>
              <w:bottom w:w="30" w:type="dxa"/>
              <w:right w:w="60" w:type="dxa"/>
            </w:tcMar>
            <w:vAlign w:val="center"/>
          </w:tcPr>
          <w:p>
            <w:pPr>
              <w:spacing w:before="20" w:after="20" w:line="200" w:lineRule="auto"/>
              <w:jc w:val="left"/>
              <w:rPr>
                <w:sz w:val="14"/>
                <w:szCs w:val="14"/>
              </w:rPr>
            </w:pPr>
            <w:r>
              <w:rPr>
                <w:sz w:val="14"/>
                <w:szCs w:val="14"/>
              </w:rPr>
              <w:t xml:space="preserve">Reporta el PV como degradado y reprograma el pod según la StorageClass</w:t>
            </w:r>
          </w:p>
        </w:tc>
        <w:tc>
          <w:tcPr>
            <w:tcW w:w="1440" w:type="dxa"/>
            <w:tcMar>
              <w:top w:w="30" w:type="dxa"/>
              <w:left w:w="60" w:type="dxa"/>
              <w:bottom w:w="30" w:type="dxa"/>
              <w:right w:w="60" w:type="dxa"/>
            </w:tcMar>
            <w:vAlign w:val="center"/>
          </w:tcPr>
          <w:p>
            <w:pPr>
              <w:spacing w:before="20" w:after="20" w:line="200" w:lineRule="auto"/>
              <w:jc w:val="left"/>
              <w:rPr>
                <w:sz w:val="14"/>
                <w:szCs w:val="14"/>
              </w:rPr>
            </w:pPr>
            <w:r>
              <w:rPr>
                <w:sz w:val="14"/>
                <w:szCs w:val="14"/>
              </w:rPr>
              <w:t xml:space="preserve">Distribuido (Ceph/Longhorn): reconstruye réplicas del volumen; local: pérdida del volumen, la durabilidad depende del WAL replicado</w:t>
            </w:r>
          </w:p>
        </w:tc>
      </w:tr>
      <w:tr>
        <w:tc>
          <w:tcPr>
            <w:tcW w:w="860" w:type="dxa"/>
            <w:tcMar>
              <w:top w:w="30" w:type="dxa"/>
              <w:left w:w="60" w:type="dxa"/>
              <w:bottom w:w="30" w:type="dxa"/>
              <w:right w:w="60" w:type="dxa"/>
            </w:tcMar>
            <w:vAlign w:val="center"/>
          </w:tcPr>
          <w:p>
            <w:pPr>
              <w:spacing w:before="20" w:after="20" w:line="200" w:lineRule="auto"/>
              <w:jc w:val="left"/>
              <w:rPr>
                <w:b/>
                <w:sz w:val="14"/>
                <w:szCs w:val="14"/>
              </w:rPr>
            </w:pPr>
            <w:r>
              <w:rPr>
                <w:b/>
                <w:sz w:val="14"/>
                <w:szCs w:val="14"/>
              </w:rPr>
              <w:t xml:space="preserve">Partición de red</w:t>
            </w:r>
          </w:p>
        </w:tc>
        <w:tc>
          <w:tcPr>
            <w:tcW w:w="1360" w:type="dxa"/>
            <w:tcMar>
              <w:top w:w="30" w:type="dxa"/>
              <w:left w:w="60" w:type="dxa"/>
              <w:bottom w:w="30" w:type="dxa"/>
              <w:right w:w="60" w:type="dxa"/>
            </w:tcMar>
            <w:vAlign w:val="center"/>
          </w:tcPr>
          <w:p>
            <w:pPr>
              <w:spacing w:before="20" w:after="20" w:line="200" w:lineRule="auto"/>
              <w:jc w:val="left"/>
              <w:rPr>
                <w:sz w:val="14"/>
                <w:szCs w:val="14"/>
              </w:rPr>
            </w:pPr>
            <w:r>
              <w:rPr>
                <w:sz w:val="14"/>
                <w:szCs w:val="14"/>
              </w:rPr>
              <w:t xml:space="preserve">Debe evitar el split-brain: cercado del antiguo primario (Patroni: expiración del lease en el DCS; CloudNativePG: estado en el API server)</w:t>
            </w:r>
          </w:p>
        </w:tc>
        <w:tc>
          <w:tcPr>
            <w:tcW w:w="1330" w:type="dxa"/>
            <w:tcMar>
              <w:top w:w="30" w:type="dxa"/>
              <w:left w:w="60" w:type="dxa"/>
              <w:bottom w:w="30" w:type="dxa"/>
              <w:right w:w="60" w:type="dxa"/>
            </w:tcMar>
            <w:vAlign w:val="center"/>
          </w:tcPr>
          <w:p>
            <w:pPr>
              <w:spacing w:before="20" w:after="20" w:line="200" w:lineRule="auto"/>
              <w:jc w:val="left"/>
              <w:rPr>
                <w:sz w:val="14"/>
                <w:szCs w:val="14"/>
              </w:rPr>
            </w:pPr>
            <w:r>
              <w:rPr>
                <w:sz w:val="14"/>
                <w:szCs w:val="14"/>
              </w:rPr>
              <w:t xml:space="preserve">El API server actúa como punto único de coordinación; una minoría del plano de control bloquea la reconciliación</w:t>
            </w:r>
          </w:p>
        </w:tc>
        <w:tc>
          <w:tcPr>
            <w:tcW w:w="1440" w:type="dxa"/>
            <w:tcMar>
              <w:top w:w="30" w:type="dxa"/>
              <w:left w:w="60" w:type="dxa"/>
              <w:bottom w:w="30" w:type="dxa"/>
              <w:right w:w="60" w:type="dxa"/>
            </w:tcMar>
            <w:vAlign w:val="center"/>
          </w:tcPr>
          <w:p>
            <w:pPr>
              <w:spacing w:before="20" w:after="20" w:line="200" w:lineRule="auto"/>
              <w:jc w:val="left"/>
              <w:rPr>
                <w:sz w:val="14"/>
                <w:szCs w:val="14"/>
              </w:rPr>
            </w:pPr>
            <w:r>
              <w:rPr>
                <w:sz w:val="14"/>
                <w:szCs w:val="14"/>
              </w:rPr>
              <w:t xml:space="preserve">En red: E/S bloqueada o degradada; distribuido: la pérdida de quórum puede congelar las escrituras</w:t>
            </w:r>
          </w:p>
        </w:tc>
      </w:tr>
    </w:tbl>
    <w:p>
      <w:pPr>
        <w:spacing w:after="120"/>
      </w:pPr>
    </w:p>
    <w:p>
      <w:pPr>
        <w:pStyle w:val="BodyText"/>
        <w:rPr/>
      </w:pPr>
      <w:r>
        <w:rPr/>
        <w:t xml:space="preserve">Por ejemplo, </w:t>
      </w:r>
      <w:bookmarkStart w:id="4" w:name="_Hlk225191937"/>
      <w:r>
        <w:rPr/>
        <w:t>un operador que asume tiempos de persistencia bajos puede comportarse de manera subóptima cuando se despliega sobre un sistema de almacenamiento distribuido con mayor latencia. De forma similar, configuraciones basadas en almacenamiento local pueden incrementar el riesgo de inconsistencias si los mecanismos de failover no consideran adecuada</w:t>
      </w:r>
      <w:bookmarkEnd w:id="4"/>
      <w:r>
        <w:rPr/>
        <w:t>mente la posible pérdida de datos en caso de fallo de nodo, particularmente en relación con la persistencia del WAL [11], [12].</w:t>
      </w:r>
    </w:p>
    <w:p>
      <w:pPr>
        <w:pStyle w:val="BodyText"/>
        <w:rPr/>
      </w:pPr>
      <w:r>
        <w:rPr/>
        <w:t xml:space="preserve">En este contexto, la función de interacción multicapa I(S) = f(O × C × D) resulta útil para interpretar estos comportamientos, ya que permite analizar cómo decisiones en una capa </w:t>
      </w:r>
      <w:r>
        <w:rPr>
          <w:highlight w:val="yellow"/>
        </w:rPr>
        <w:t xml:space="preserve">pueden propagarse y afectar a las demás, lo que refuerza la necesidad de un enfoque integrado.</w:t>
      </w:r>
    </w:p>
    <w:p>
      <w:pPr>
        <w:pStyle w:val="Heading2"/>
        <w:numPr>
          <w:ilvl w:val="1"/>
          <w:numId w:val="4"/>
        </w:numPr>
        <w:rPr>
          <w:lang w:val="es-VE"/>
        </w:rPr>
      </w:pPr>
      <w:r>
        <w:rPr>
          <w:lang w:val="es-VE"/>
        </w:rPr>
        <w:t>Implicaciones para la evaluación del sistema</w:t>
      </w:r>
    </w:p>
    <w:p>
      <w:pPr>
        <w:pStyle w:val="BodyText"/>
        <w:rPr/>
      </w:pPr>
      <w:r>
        <w:rPr/>
        <w:t xml:space="preserve">El análisis realizado pone de manifiesto que la evaluación de sistemas PostgreSQL en Kubernetes no puede abordarse desde una única dimensión. En particular, se observa </w:t>
      </w:r>
      <w:r>
        <w:rPr>
          <w:highlight w:val="yellow"/>
        </w:rPr>
        <w:t xml:space="preserve">un trade-off entre rendimiento, resiliencia y consistencia, fuertemente condicionado por la combinación de operador y tipo de almacenamiento</w:t>
      </w:r>
      <w:r>
        <w:rPr/>
        <w:t xml:space="preserve">, tal como se plantea en la literatura sobre sistemas distribuidos [6], [7], [9].</w:t>
      </w:r>
    </w:p>
    <w:p>
      <w:pPr>
        <w:pStyle w:val="BodyText"/>
        <w:rPr/>
      </w:pPr>
      <w:r>
        <w:rPr/>
        <w:t xml:space="preserve">Este resultado refuerza la necesidad de un enfoque integrado como el propuesto en este trabajo, donde el modelo del sistema y las dimensiones de evaluación permiten analizar de forma conjunta estos factores. Asimismo, establece una base sólida para una futura evaluación empírica, </w:t>
      </w:r>
      <w:r>
        <w:rPr>
          <w:highlight w:val="yellow"/>
        </w:rPr>
        <w:t xml:space="preserve">en la que estos aspectos puedan medirse mediante métricas</w:t>
      </w:r>
      <w:r>
        <w:rPr/>
        <w:t xml:space="preserve"> como RTO, RPO, latencia de transacciones y pérdida de datos.</w:t>
      </w:r>
    </w:p>
    <w:p>
      <w:pPr>
        <w:pStyle w:val="Heading2"/>
        <w:numPr>
          <w:ilvl w:val="1"/>
          <w:numId w:val="4"/>
        </w:numPr>
        <w:rPr>
          <w:lang w:val="es-VE"/>
        </w:rPr>
      </w:pPr>
      <w:r>
        <w:rPr>
          <w:lang w:val="es-VE"/>
          <w:highlight w:val="yellow"/>
        </w:rPr>
        <w:t xml:space="preserve">Diseño experimental propuesto</w:t>
      </w:r>
    </w:p>
    <w:p>
      <w:pPr>
        <w:pStyle w:val="BodyText"/>
        <w:rPr/>
      </w:pPr>
      <w:r>
        <w:rPr>
          <w:highlight w:val="yellow"/>
        </w:rPr>
        <w:t xml:space="preserve">Con el fin de operacionalizar el marco anterior, se propone un diseño experimental sobre un clúster Kubernetes en producción (v1.34.6), con PostgreSQL 16.13, almacenamiento en red respaldado por el controlador CSI de Huawei 4.10.1 sobre Fibre Channel (SAN) y red gestionada mediante Calico 3.31.4. Se comparan dos operadores representativos de la taxonomía de la sección III: CloudNativePG 1.28.0, como exponente del enfoque cloud-native, y Zalando Postgres Operator, como exponente de la coordinación delegada en Patroni. Dado que el entorno se encuentra aislado de redes externas (air-gapped), las herramientas de inyección de fallos se instalan a partir de imágenes importadas localmente en el entorno de ejecución de contenedores de cada nodo del laboratorio.</w:t>
      </w:r>
    </w:p>
    <w:p>
      <w:pPr>
        <w:pStyle w:val="BodyText"/>
        <w:rPr/>
      </w:pPr>
      <w:r>
        <w:rPr>
          <w:highlight w:val="yellow"/>
        </w:rPr>
        <w:t xml:space="preserve">El experimento se ejecuta en un espacio de nombres dedicado, con cuotas de recursos y un alcance de inyección restringido por control de acceso, de modo que las cargas productivas permanecen fuera del dominio de fallo. Cada operador despliega un clúster de tres instancias (un primario y dos réplicas) sometido a carga sintética continua, junto con un cliente de verificación que registra cada transacción confirmada y comprueba su visibilidad tras la recuperación. Esto permite operacionalizar los invariantes de la sección III: el RPO se mide como transacciones confirmadas no visibles tras el fallo, y el RTO como el tiempo transcurrido hasta la primera escritura aceptada por el nuevo primario.</w:t>
      </w:r>
    </w:p>
    <w:p>
      <w:pPr>
        <w:pStyle w:val="BodyText"/>
        <w:rPr/>
      </w:pPr>
      <w:r>
        <w:rPr>
          <w:highlight w:val="yellow"/>
        </w:rPr>
        <w:t xml:space="preserve">Se contemplan tres escenarios de fallo reproducibles de forma segura en un entorno productivo: (i) la terminación del pod primario; (ii) la indisponibilidad sostenida del primario, como aproximación observable de un fallo de nodo desde la perspectiva del operador; y (iii) la partición de red del primario mediante políticas de red reversibles. Como eje central, se aplica un análisis de sensibilidad paramétrico que inyecta niveles crecientes de latencia de E/S (0, 20, 50 y 100 ms) sobre los volúmenes del laboratorio, con el fin de caracterizar la relación entre la degradación del almacenamiento y las métricas de recuperación, en correspondencia con la función de interacción multicapa I(S).</w:t>
      </w:r>
    </w:p>
    <w:p>
      <w:pPr>
        <w:pStyle w:val="BodyText"/>
        <w:rPr/>
      </w:pPr>
      <w:r>
        <w:rPr>
          <w:highlight w:val="yellow"/>
        </w:rPr>
        <w:t xml:space="preserve">Cada combinación de operador, escenario y nivel de latencia se repite diez veces. Dada la distribución no normal esperada de RTO y RPO, se reportan medianas y percentiles y se emplean pruebas no paramétricas (Mann–Whitney y Kruskal–Wallis), así como la correlación de Spearman para la relación entre latencia inyectada y tiempo de recuperación. Los fallos de nodo en la capa de orquestación —expulsión de pods y readjunte de volúmenes— no se reproducen empíricamente por restricciones del entorno productivo y se abordan de forma analítica mediante la Tabla I.</w:t>
      </w:r>
    </w:p>
    <w:p>
      <w:pPr>
        <w:pStyle w:val="Heading1"/>
        <w:numPr>
          <w:ilvl w:val="0"/>
          <w:numId w:val="4"/>
        </w:numPr>
        <w:tabs>
          <w:tab w:val="clear" w:pos="216"/>
          <w:tab w:val="left" w:pos="284" w:leader="none"/>
          <w:tab w:val="left" w:pos="426" w:leader="none"/>
        </w:tabs>
        <w:ind w:firstLine="426"/>
        <w:rPr/>
      </w:pPr>
      <w:r>
        <w:rPr>
          <w:highlight w:val="yellow"/>
        </w:rPr>
        <w:t xml:space="preserve">Discusión</w:t>
      </w:r>
    </w:p>
    <w:p>
      <w:pPr>
        <w:pStyle w:val="BodyText"/>
        <w:rPr/>
      </w:pPr>
      <w:r>
        <w:rPr/>
        <w:t xml:space="preserve">Los resultados del análisis evidencian que el comportamiento de sistemas PostgreSQL en Kubernetes </w:t>
      </w:r>
      <w:r>
        <w:rPr>
          <w:highlight w:val="yellow"/>
        </w:rPr>
        <w:t xml:space="preserve">no puede explicarse adecuadamente considerando únicamente una de sus capas</w:t>
      </w:r>
      <w:r>
        <w:rPr/>
        <w:t xml:space="preserve">. En particular, la interacción entre el operador, el sistema de almacenamiento y la semántica de la base de datos </w:t>
      </w:r>
      <w:r>
        <w:rPr>
          <w:highlight w:val="yellow"/>
        </w:rPr>
        <w:t xml:space="preserve">introduce efectos emergentes que los enfoques tradicionales, centrados en un solo componente, no logran capturar.</w:t>
      </w:r>
    </w:p>
    <w:p>
      <w:pPr>
        <w:pStyle w:val="BodyText"/>
        <w:rPr/>
      </w:pPr>
      <w:r>
        <w:rPr/>
        <w:t xml:space="preserve">Desde una perspectiva arquitectónica, este hallazgo refuerza la idea de que la confiabilidad en entornos cloud-native es un fenómeno inherentemente multicapa. Aunque la literatura en sistemas distribuidos </w:t>
      </w:r>
      <w:r>
        <w:rPr>
          <w:highlight w:val="yellow"/>
        </w:rPr>
        <w:t xml:space="preserve">ha abordado de manera extensa aspectos como la consistencia, la resiliencia y la tolerancia a fallos</w:t>
      </w:r>
      <w:r>
        <w:rPr/>
        <w:t xml:space="preserve"> [6], [7], [9], estos estudios rara vez consideran el impacto específico de los mecanismos de orquestación y de las abstracciones de almacenamiento como CSI en el comportamiento final del sistema.</w:t>
      </w:r>
    </w:p>
    <w:p>
      <w:pPr>
        <w:pStyle w:val="BodyText"/>
        <w:rPr/>
      </w:pPr>
      <w:r>
        <w:rPr/>
        <w:t>En términos prácticos, los resultados sugieren que decisiones aparentemente locales —como la selección de un operador o de un tipo de almacenamiento— pueden tener implicaciones globales en métricas críticas como RTO, RPO o la visibilidad de las transacciones. Esto plantea desafíos importantes para el diseño de arquitecturas robustas, ya que optimizaciones en una dimensión pueden introducir degradaciones en otras.</w:t>
      </w:r>
    </w:p>
    <w:p>
      <w:pPr>
        <w:pStyle w:val="BodyText"/>
        <w:rPr/>
      </w:pPr>
      <w:r>
        <w:rPr/>
        <w:t xml:space="preserve">Asimismo, </w:t>
      </w:r>
      <w:r>
        <w:rPr>
          <w:highlight w:val="yellow"/>
        </w:rPr>
        <w:t xml:space="preserve">el modelo propuesto en este trabajo ofrece una base conceptual útil</w:t>
      </w:r>
      <w:r>
        <w:rPr/>
        <w:t xml:space="preserve"> para analizar estas dependencias. En particular, la función de interacción multicapa I(S) permite interpretar cómo la combinación de operador, almacenamiento y base de datos influye en el comportamiento del sistema, extendiendo enfoques previos que tienden a analizar estos elementos de forma independiente.</w:t>
      </w:r>
    </w:p>
    <w:p>
      <w:pPr>
        <w:pStyle w:val="BodyText"/>
        <w:rPr/>
      </w:pPr>
      <w:r>
        <w:rPr/>
        <w:t xml:space="preserve">No obstante, este trabajo presenta ciertas limitaciones. En primer lugar, el análisis es de carácter conceptual y no incluye una validación empírica directa. Aunque el modelo y los invariantes definidos permiten razonar sobre el comportamiento del sistema, </w:t>
      </w:r>
      <w:r>
        <w:rPr>
          <w:highlight w:val="yellow"/>
        </w:rPr>
        <w:t xml:space="preserve">su validación requiere experimentación en condiciones controladas</w:t>
      </w:r>
      <w:r>
        <w:rPr/>
        <w:t xml:space="preserve">, especialmente mediante la inyección de fallos. En segundo lugar, </w:t>
      </w:r>
      <w:r>
        <w:rPr>
          <w:highlight w:val="yellow"/>
        </w:rPr>
        <w:t xml:space="preserve">la taxonomía propuesta, aunque representativa, no abarca la totalidad de operadores ni de implementaciones CSI existentes</w:t>
      </w:r>
      <w:r>
        <w:rPr/>
        <w:t xml:space="preserve">, lo que podría limitar la generalización de los resultados.</w:t>
      </w:r>
      <w:r>
        <w:rPr>
          <w:highlight w:val="yellow"/>
        </w:rPr>
        <w:t xml:space="preserve"> En tercer lugar, el entorno de validación disponible se basa exclusivamente en almacenamiento en red (SAN sobre Fibre Channel) con hardware homogéneo en todos los nodos, por lo que el contraste empírico entre las categorías de almacenamiento local, distribuido y en red, así como los fallos de nodo en la capa de orquestación, se abordan de forma analítica y se declaran como trabajo futuro.</w:t>
      </w:r>
    </w:p>
    <w:p>
      <w:pPr>
        <w:pStyle w:val="BodyText"/>
        <w:rPr/>
      </w:pPr>
      <w:r>
        <w:rPr/>
        <w:t xml:space="preserve">A pesar de estas limitaciones, </w:t>
      </w:r>
      <w:r>
        <w:rPr>
          <w:highlight w:val="yellow"/>
        </w:rPr>
        <w:t xml:space="preserve">el enfoque adoptado representa una contribución relevante al establecer un marco integrador</w:t>
      </w:r>
      <w:r>
        <w:rPr/>
        <w:t xml:space="preserve"> que conecta distintas líneas de investigación. Además, define una base clara para futuros trabajos empíricos, </w:t>
      </w:r>
      <w:r>
        <w:rPr>
          <w:highlight w:val="yellow"/>
        </w:rPr>
        <w:t xml:space="preserve">en los que los invariantes propuestos puedan operacionalizarse mediante métricas observables</w:t>
      </w:r>
      <w:r>
        <w:rPr/>
        <w:t xml:space="preserve"> como pérdida de datos, tiempos de recuperación o consistencia percibida por las aplicaciones.</w:t>
      </w:r>
    </w:p>
    <w:p>
      <w:pPr>
        <w:pStyle w:val="BodyText"/>
        <w:rPr/>
      </w:pPr>
      <w:r>
        <w:rPr/>
        <w:t xml:space="preserve">En este sentido, una línea natural de trabajo futuro consiste en diseñar experimentos </w:t>
      </w:r>
      <w:r>
        <w:rPr>
          <w:highlight w:val="yellow"/>
        </w:rPr>
        <w:t xml:space="preserve">que permitan evaluar sistemáticamente distintas combinaciones de operadores y sistemas de almacenamiento en escenarios de fallo</w:t>
      </w:r>
      <w:r>
        <w:rPr/>
        <w:t xml:space="preserve">, lo que permitiría validar y refinar el modelo presentado.</w:t>
      </w:r>
    </w:p>
    <w:p>
      <w:pPr>
        <w:pStyle w:val="Heading5"/>
        <w:rPr>
          <w:lang w:val="es-VE"/>
        </w:rPr>
      </w:pPr>
      <w:r>
        <w:rPr>
          <w:lang w:val="es-VE"/>
        </w:rPr>
        <w:t>Conclusiones</w:t>
      </w:r>
    </w:p>
    <w:p>
      <w:pPr>
        <w:pStyle w:val="BodyText"/>
        <w:rPr/>
      </w:pPr>
      <w:r>
        <w:rPr/>
        <w:t>Este trabajo abordó el análisis de sistemas PostgreSQL en Kubernetes desde una perspectiva multicapa, considerando de manera integrada la interacción entre operadores, almacenamiento basado en CSI y la semántica de la base de datos. A diferencia de enfoques tradicionales que estudian estos componentes de forma aislada, se propuso un marco conceptual que permite caracterizar su comportamiento conjunto.</w:t>
      </w:r>
    </w:p>
    <w:p>
      <w:pPr>
        <w:pStyle w:val="BodyText"/>
        <w:rPr/>
      </w:pPr>
      <w:r>
        <w:rPr/>
        <w:t>Como contribución principal, se presentó una taxonomía de operadores y sistemas de almacenamiento, junto con un modelo formal del sistema S = (O, K, C, D) que facilita el análisis estructurado de sus interacciones. Sobre esta base, se definieron dimensiones de evaluación —resiliencia, consistencia, rendimiento e interacción multicapa— y un conjunto de invariantes orientados a caracterizar la corrección del sistema en presencia de fallos.</w:t>
      </w:r>
    </w:p>
    <w:p>
      <w:pPr>
        <w:pStyle w:val="BodyText"/>
        <w:rPr/>
      </w:pPr>
      <w:r>
        <w:rPr/>
        <w:t xml:space="preserve">El análisis desarrollado evidencia que la confiabilidad de cargas de trabajo stateful en Kubernetes no depende exclusivamente de la calidad de un operador o de las propiedades del almacenamiento, sino del comportamiento emergente derivado de su interacción. En particular, se identifican </w:t>
      </w:r>
      <w:r>
        <w:rPr>
          <w:highlight w:val="yellow"/>
        </w:rPr>
        <w:t xml:space="preserve">decisiones de diseño en las que se debe sacrificar un atributo para obtener otro (trade-offs), en aspectos como el rendimiento, la disponibilidad y la consistencia, condicionados por elecciones que atraviesan múltiples capas del sistema.</w:t>
      </w:r>
    </w:p>
    <w:p>
      <w:pPr>
        <w:pStyle w:val="BodyText"/>
        <w:rPr/>
      </w:pPr>
      <w:r>
        <w:rPr/>
        <w:t xml:space="preserve">Estos resultados ponen de manifiesto </w:t>
      </w:r>
      <w:r>
        <w:rPr>
          <w:highlight w:val="yellow"/>
        </w:rPr>
        <w:t xml:space="preserve">la necesidad de adoptar enfoques integrados para el diseño y la evaluación de arquitecturas cloud-native</w:t>
      </w:r>
      <w:r>
        <w:rPr/>
        <w:t xml:space="preserve">, especialmente en contextos donde la persistencia de datos y la tolerancia a fallos son críticas. Asimismo, el modelo propuesto </w:t>
      </w:r>
      <w:r>
        <w:rPr>
          <w:highlight w:val="yellow"/>
        </w:rPr>
        <w:t xml:space="preserve">establece una base formal que puede utilizarse para analizar configuraciones heterogéneas</w:t>
      </w:r>
      <w:r>
        <w:rPr/>
        <w:t xml:space="preserve"> y guiar decisiones arquitectónicas.</w:t>
      </w:r>
    </w:p>
    <w:p>
      <w:pPr>
        <w:pStyle w:val="BodyText"/>
        <w:rPr/>
      </w:pPr>
      <w:r>
        <w:rPr/>
        <w:t xml:space="preserve">Como trabajo futuro, se plantea la validación empírica del modelo mediante la ejecución de experimentos controlados que permitan medir métricas como RTO, RPO, </w:t>
      </w:r>
      <w:r>
        <w:rPr>
          <w:highlight w:val="yellow"/>
        </w:rPr>
        <w:t xml:space="preserve">latencia de recuperación y pérdida de datos en distintos escenarios de fallo</w:t>
      </w:r>
      <w:r>
        <w:rPr/>
        <w:t xml:space="preserve">. Esta línea de investigación permitirá no solo validar los invariantes propuestos, </w:t>
      </w:r>
      <w:r>
        <w:rPr>
          <w:highlight w:val="yellow"/>
        </w:rPr>
        <w:t xml:space="preserve">sino también refinar el modelo a partir de observaciones empíricas</w:t>
      </w:r>
      <w:r>
        <w:rPr/>
        <w:t xml:space="preserve">.</w:t>
      </w:r>
    </w:p>
    <w:p>
      <w:pPr>
        <w:pStyle w:val="BodyText"/>
        <w:rPr/>
      </w:pPr>
      <w:r>
        <w:rPr/>
        <w:t xml:space="preserve">En conjunto, este trabajo contribuye a cerrar la brecha existente entre la teoría de sistemas distribuidos y las implementaciones prácticas en Kubernetes, proporcionando </w:t>
      </w:r>
      <w:r>
        <w:rPr>
          <w:highlight w:val="yellow"/>
        </w:rPr>
        <w:t xml:space="preserve">un marco conceptual y analítico que facilita la comprensión y la evaluación de sistemas PostgreSQL</w:t>
      </w:r>
      <w:r>
        <w:rPr/>
        <w:t xml:space="preserve"> en entornos cloud-native. </w:t>
      </w:r>
    </w:p>
    <w:p>
      <w:pPr>
        <w:pStyle w:val="Heading5"/>
        <w:rPr/>
      </w:pPr>
      <w:r>
        <w:rPr>
          <w:highlight w:val="yellow"/>
        </w:rPr>
        <w:t xml:space="preserve">Referencias</w:t>
      </w:r>
    </w:p>
    <w:p>
      <w:pPr>
        <w:pStyle w:val="references"/>
        <w:numPr>
          <w:ilvl w:val="0"/>
          <w:numId w:val="5"/>
        </w:numPr>
        <w:rPr/>
      </w:pPr>
      <w:r>
        <w:rPr/>
        <w:t>B. Burns, B. Grant, D. Oppenheimer, E. Brewer, and J. Wilkes, “Borg, Omega, and Kubernetes,” ACM Queue, vol. 14, no. 1, pp. 70–93, 2016.</w:t>
      </w:r>
    </w:p>
    <w:p>
      <w:pPr>
        <w:pStyle w:val="references"/>
        <w:numPr>
          <w:ilvl w:val="0"/>
          <w:numId w:val="5"/>
        </w:numPr>
        <w:rPr/>
      </w:pPr>
      <w:r>
        <w:rPr/>
        <w:t>M. Schwarzkopf, A. Konwinski, M. Abd-El-Malek, and J. Wilkes, “Omega: Flexible, scalable schedulers for large compute clusters,” in Proc. EuroSys, 2013, pp. 351–364.</w:t>
      </w:r>
    </w:p>
    <w:p>
      <w:pPr>
        <w:pStyle w:val="references"/>
        <w:numPr>
          <w:ilvl w:val="0"/>
          <w:numId w:val="5"/>
        </w:numPr>
        <w:rPr/>
      </w:pPr>
      <w:r>
        <w:rPr/>
        <w:t>Kubernetes, “Container Storage Interface (CSI),” 2024. [Online]. Available: https://kubernetes.io</w:t>
      </w:r>
    </w:p>
    <w:p>
      <w:pPr>
        <w:pStyle w:val="references"/>
        <w:numPr>
          <w:ilvl w:val="0"/>
          <w:numId w:val="5"/>
        </w:numPr>
        <w:rPr/>
      </w:pPr>
      <w:r>
        <w:rPr/>
        <w:t>A. Taft et al., “CockroachDB: The resilient geo-distributed SQL database,” in Proc. ACM SIGMOD Int. Conf. Management of Data, 2020, pp. 1493–1509.</w:t>
      </w:r>
    </w:p>
    <w:p>
      <w:pPr>
        <w:pStyle w:val="references"/>
        <w:numPr>
          <w:ilvl w:val="0"/>
          <w:numId w:val="5"/>
        </w:numPr>
        <w:rPr/>
      </w:pPr>
      <w:r>
        <w:rPr/>
        <w:t>S. Kulkarni et al., “Declarative stateful systems in Kubernetes,” IEEE Cloud Computing, vol. 7, no. 2, pp. 52–61, 2020.</w:t>
      </w:r>
    </w:p>
    <w:p>
      <w:pPr>
        <w:pStyle w:val="references"/>
        <w:numPr>
          <w:ilvl w:val="0"/>
          <w:numId w:val="5"/>
        </w:numPr>
        <w:rPr/>
      </w:pPr>
      <w:r>
        <w:rPr/>
        <w:t>P. Bailis and A. Ghodsi, “Eventual consistency today: limitations, extensions, and beyond,” Communications of the ACM, vol. 56, no. 5, pp. 55–63, 2013.</w:t>
      </w:r>
    </w:p>
    <w:p>
      <w:pPr>
        <w:pStyle w:val="references"/>
        <w:numPr>
          <w:ilvl w:val="0"/>
          <w:numId w:val="5"/>
        </w:numPr>
        <w:rPr/>
      </w:pPr>
      <w:r>
        <w:rPr/>
        <w:t>S. Gilbert and N. Lynch, “Brewer’s conjecture and the feasibility of consistent, available, partition-tolerant web services,” ACM SIGACT News, vol. 33, no. 2, pp. 51–59, 2002.</w:t>
      </w:r>
    </w:p>
    <w:p>
      <w:pPr>
        <w:pStyle w:val="references"/>
        <w:numPr>
          <w:ilvl w:val="0"/>
          <w:numId w:val="5"/>
        </w:numPr>
        <w:rPr/>
      </w:pPr>
      <w:r>
        <w:rPr/>
        <w:t>M. Burckhardt, “Principles of eventual consistency,” Foundations and Trends in Programming Languages, vol. 1, no. 1–2, pp. 1–150, 2014.</w:t>
      </w:r>
    </w:p>
    <w:p>
      <w:pPr>
        <w:pStyle w:val="references"/>
        <w:numPr>
          <w:ilvl w:val="0"/>
          <w:numId w:val="5"/>
        </w:numPr>
        <w:rPr/>
      </w:pPr>
      <w:r>
        <w:rPr/>
        <w:t>A. Avizienis, J.-C. Laprie, B. Randell, and C. Landwehr, “Basic concepts and taxonomy of dependable and secure computing,” IEEE Trans. Dependable and Secure Computing, vol. 1, no. 1, pp. 11–33, 2004.</w:t>
      </w:r>
    </w:p>
    <w:p>
      <w:pPr>
        <w:pStyle w:val="references"/>
        <w:numPr>
          <w:ilvl w:val="0"/>
          <w:numId w:val="5"/>
        </w:numPr>
        <w:rPr/>
      </w:pPr>
      <w:r>
        <w:rPr/>
        <w:t>S. Nayak, “SQL and NoSQL database architectures: A performance evaluation and systematic review,” Journal of Systems and Software, vol. 195, 2023.</w:t>
      </w:r>
    </w:p>
    <w:p>
      <w:pPr>
        <w:pStyle w:val="references"/>
        <w:numPr>
          <w:ilvl w:val="0"/>
          <w:numId w:val="5"/>
        </w:numPr>
        <w:rPr/>
      </w:pPr>
      <w:r>
        <w:rPr/>
        <w:t>Y. Cao et al., “PALF: Replicated write-ahead logging for distributed databases,” Proc. VLDB, 2024.</w:t>
      </w:r>
    </w:p>
    <w:p>
      <w:pPr>
        <w:pStyle w:val="references"/>
        <w:numPr>
          <w:ilvl w:val="0"/>
          <w:numId w:val="5"/>
        </w:numPr>
        <w:rPr/>
      </w:pPr>
      <w:r>
        <w:rPr/>
        <w:t>M. Stonebraker and G. Kemnitz, “The POSTGRES next-generation database management system,” Communications of the ACM, vol. 34, no. 10, pp. 78–92, 1991.</w:t>
      </w:r>
    </w:p>
    <w:p>
      <w:pPr>
        <w:pStyle w:val="references"/>
        <w:numPr>
          <w:ilvl w:val="0"/>
          <w:numId w:val="5"/>
        </w:numPr>
        <w:rPr/>
      </w:pPr>
      <w:r>
        <w:rPr/>
        <w:t>R. van Renesse and F. B. Schneider, “Chain replication for supporting high throughput and availability,” in Proc. OSDI, 2004.</w:t>
      </w:r>
    </w:p>
    <w:p>
      <w:pPr>
        <w:pStyle w:val="references"/>
        <w:numPr>
          <w:ilvl w:val="0"/>
          <w:numId w:val="5"/>
        </w:numPr>
        <w:rPr/>
      </w:pPr>
      <w:r>
        <w:rPr/>
        <w:t>Red Hat, “Orchestrating a stateful application using Kubernetes Operators,” 2021.</w:t>
      </w:r>
    </w:p>
    <w:p>
      <w:pPr>
        <w:pStyle w:val="references"/>
        <w:numPr>
          <w:ilvl w:val="0"/>
          <w:numId w:val="5"/>
        </w:numPr>
        <w:rPr/>
      </w:pPr>
      <w:r>
        <w:rPr/>
        <w:t>J. Santos et al., “Deploying a scalable PostgreSQL database on Kubernetes: Toward serverless operations,” Future Generation Computer Systems, 2025.</w:t>
      </w:r>
    </w:p>
    <w:p>
      <w:pPr>
        <w:sectPr>
          <w:type w:val="continuous"/>
          <w:pgSz w:w="12240" w:h="15840"/>
          <w:pgMar w:left="893" w:right="893" w:gutter="0" w:header="0" w:top="1080" w:footer="0" w:bottom="1440"/>
          <w:cols w:num="2" w:space="360" w:equalWidth="true" w:sep="false"/>
          <w:formProt w:val="false"/>
          <w:textDirection w:val="lrTb"/>
          <w:docGrid w:type="default" w:linePitch="360" w:charSpace="8192"/>
        </w:sectPr>
      </w:pPr>
    </w:p>
    <w:p>
      <w:pPr>
        <w:pStyle w:val="Normal"/>
        <w:rPr>
          <w:color w:val="FF0000"/>
        </w:rPr>
      </w:pPr>
      <w:r>
        <w:rPr>
          <w:color w:val="FF0000"/>
        </w:rPr>
      </w:r>
    </w:p>
    <w:sectPr>
      <w:type w:val="continuous"/>
      <w:pgSz w:w="12240" w:h="15840"/>
      <w:pgMar w:left="893" w:right="893" w:gutter="0" w:header="0" w:top="1080" w:footer="0" w:bottom="1440"/>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648"/>
        </w:tabs>
        <w:ind w:start="648" w:hanging="360"/>
      </w:pPr>
      <w:rPr>
        <w:rFonts w:ascii="Symbol" w:hAnsi="Symbol" w:cs="Symbol" w:hint="default"/>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abstractNum w:abstractNumId="2">
    <w:lvl w:ilvl="0">
      <w:start w:val="1"/>
      <w:numFmt w:val="decimal"/>
      <w:lvlText w:val="Fig. %1."/>
      <w:lvlJc w:val="start"/>
      <w:pPr>
        <w:tabs>
          <w:tab w:val="num" w:pos="0"/>
        </w:tabs>
        <w:ind w:start="360" w:hanging="360"/>
      </w:pPr>
      <w:rPr>
        <w:sz w:val="16"/>
        <w:i w:val="false"/>
        <w:b w:val="false"/>
        <w:szCs w:val="16"/>
        <w:iCs w:val="false"/>
        <w:bCs w:val="false"/>
        <w:rFonts w:ascii="Times New Roman" w:hAnsi="Times New Roman" w:cs="Times New Roman"/>
        <w:color w:val="auto"/>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3">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1440"/>
        </w:tabs>
        <w:ind w:start="1440" w:hanging="360"/>
      </w:pPr>
      <w:rPr>
        <w:rFonts w:cs="Times New Roman"/>
      </w:rPr>
    </w:lvl>
    <w:lvl w:ilvl="2">
      <w:start w:val="1"/>
      <w:numFmt w:val="lowerRoman"/>
      <w:lvlText w:val="%3."/>
      <w:lvlJc w:val="end"/>
      <w:pPr>
        <w:tabs>
          <w:tab w:val="num" w:pos="2160"/>
        </w:tabs>
        <w:ind w:start="2160" w:hanging="180"/>
      </w:pPr>
      <w:rPr>
        <w:rFonts w:cs="Times New Roman"/>
      </w:rPr>
    </w:lvl>
    <w:lvl w:ilvl="3">
      <w:start w:val="1"/>
      <w:numFmt w:val="decimal"/>
      <w:lvlText w:val="%4."/>
      <w:lvlJc w:val="start"/>
      <w:pPr>
        <w:tabs>
          <w:tab w:val="num" w:pos="2880"/>
        </w:tabs>
        <w:ind w:start="2880" w:hanging="360"/>
      </w:pPr>
      <w:rPr>
        <w:rFonts w:cs="Times New Roman"/>
      </w:rPr>
    </w:lvl>
    <w:lvl w:ilvl="4">
      <w:start w:val="1"/>
      <w:numFmt w:val="lowerLetter"/>
      <w:lvlText w:val="%5."/>
      <w:lvlJc w:val="start"/>
      <w:pPr>
        <w:tabs>
          <w:tab w:val="num" w:pos="3600"/>
        </w:tabs>
        <w:ind w:start="3600" w:hanging="360"/>
      </w:pPr>
      <w:rPr>
        <w:rFonts w:cs="Times New Roman"/>
      </w:rPr>
    </w:lvl>
    <w:lvl w:ilvl="5">
      <w:start w:val="1"/>
      <w:numFmt w:val="lowerRoman"/>
      <w:lvlText w:val="%6."/>
      <w:lvlJc w:val="end"/>
      <w:pPr>
        <w:tabs>
          <w:tab w:val="num" w:pos="4320"/>
        </w:tabs>
        <w:ind w:start="4320" w:hanging="180"/>
      </w:pPr>
      <w:rPr>
        <w:rFonts w:cs="Times New Roman"/>
      </w:rPr>
    </w:lvl>
    <w:lvl w:ilvl="6">
      <w:start w:val="1"/>
      <w:numFmt w:val="decimal"/>
      <w:lvlText w:val="%7."/>
      <w:lvlJc w:val="start"/>
      <w:pPr>
        <w:tabs>
          <w:tab w:val="num" w:pos="5040"/>
        </w:tabs>
        <w:ind w:start="5040" w:hanging="360"/>
      </w:pPr>
      <w:rPr>
        <w:rFonts w:cs="Times New Roman"/>
      </w:rPr>
    </w:lvl>
    <w:lvl w:ilvl="7">
      <w:start w:val="1"/>
      <w:numFmt w:val="lowerLetter"/>
      <w:lvlText w:val="%8."/>
      <w:lvlJc w:val="start"/>
      <w:pPr>
        <w:tabs>
          <w:tab w:val="num" w:pos="5760"/>
        </w:tabs>
        <w:ind w:start="5760" w:hanging="360"/>
      </w:pPr>
      <w:rPr>
        <w:rFonts w:cs="Times New Roman"/>
      </w:rPr>
    </w:lvl>
    <w:lvl w:ilvl="8">
      <w:start w:val="1"/>
      <w:numFmt w:val="lowerRoman"/>
      <w:lvlText w:val="%9."/>
      <w:lvlJc w:val="end"/>
      <w:pPr>
        <w:tabs>
          <w:tab w:val="num" w:pos="6480"/>
        </w:tabs>
        <w:ind w:start="6480" w:hanging="180"/>
      </w:pPr>
      <w:rPr>
        <w:rFonts w:cs="Times New Roman"/>
      </w:rPr>
    </w:lvl>
  </w:abstractNum>
  <w:abstractNum w:abstractNumId="4">
    <w:lvl w:ilvl="0">
      <w:start w:val="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start"/>
      <w:pPr>
        <w:tabs>
          <w:tab w:val="num" w:pos="54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auto"/>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start"/>
      <w:pPr>
        <w:tabs>
          <w:tab w:val="num" w:pos="63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5">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lowerLetter"/>
      <w:lvlText w:val="%1."/>
      <w:lvlJc w:val="end"/>
      <w:pPr>
        <w:tabs>
          <w:tab w:val="num" w:pos="0"/>
        </w:tabs>
        <w:ind w:start="418" w:hanging="360"/>
      </w:pPr>
      <w:rPr>
        <w:smallCaps w:val="false"/>
        <w:caps w:val="false"/>
        <w:dstrike w:val="false"/>
        <w:strike w:val="false"/>
        <w:vertAlign w:val="superscript"/>
        <w:sz w:val="16"/>
        <w:spacing w:val="0"/>
        <w:i w:val="false"/>
        <w:b w:val="false"/>
        <w:kern w:val="0"/>
        <w:w w:val="100"/>
        <w:vanish w:val="false"/>
        <w:rFonts w:ascii="Times New Roman" w:hAnsi="Times New Roman"/>
        <w:color w:val="auto"/>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SystemFonts/>
  <w:defaultTabStop w:val="720"/>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suppressAutoHyphens w:val="true"/>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Heading1">
    <w:name w:val="Heading 1"/>
    <w:basedOn w:val="Normal"/>
    <w:next w:val="Normal"/>
    <w:qFormat/>
    <w:rsid w:val="006b6b66"/>
    <w:pPr>
      <w:keepNext w:val="true"/>
      <w:keepLines/>
      <w:numPr>
        <w:ilvl w:val="0"/>
        <w:numId w:val="4"/>
      </w:numPr>
      <w:tabs>
        <w:tab w:val="clear" w:pos="720"/>
        <w:tab w:val="left" w:pos="216" w:leader="none"/>
      </w:tabs>
      <w:spacing w:before="160" w:after="80"/>
      <w:ind w:hanging="0"/>
      <w:outlineLvl w:val="0"/>
    </w:pPr>
    <w:rPr>
      <w:smallCaps/>
    </w:rPr>
  </w:style>
  <w:style w:type="paragraph" w:styleId="Heading2">
    <w:name w:val="Heading 2"/>
    <w:basedOn w:val="Normal"/>
    <w:next w:val="Normal"/>
    <w:qFormat/>
    <w:rsid w:val="00ed0149"/>
    <w:pPr>
      <w:keepNext w:val="true"/>
      <w:keepLines/>
      <w:numPr>
        <w:ilvl w:val="1"/>
        <w:numId w:val="4"/>
      </w:numPr>
      <w:tabs>
        <w:tab w:val="clear" w:pos="720"/>
        <w:tab w:val="left" w:pos="288" w:leader="none"/>
      </w:tabs>
      <w:spacing w:before="120" w:after="60"/>
      <w:jc w:val="start"/>
      <w:outlineLvl w:val="1"/>
    </w:pPr>
    <w:rPr>
      <w:i/>
      <w:iCs/>
    </w:rPr>
  </w:style>
  <w:style w:type="paragraph" w:styleId="Heading3">
    <w:name w:val="Heading 3"/>
    <w:basedOn w:val="Normal"/>
    <w:next w:val="Normal"/>
    <w:qFormat/>
    <w:rsid w:val="00794804"/>
    <w:pPr>
      <w:numPr>
        <w:ilvl w:val="2"/>
        <w:numId w:val="4"/>
      </w:numPr>
      <w:spacing w:lineRule="exact" w:line="240"/>
      <w:ind w:firstLine="288"/>
      <w:jc w:val="both"/>
      <w:outlineLvl w:val="2"/>
    </w:pPr>
    <w:rPr>
      <w:i/>
      <w:iCs/>
    </w:rPr>
  </w:style>
  <w:style w:type="paragraph" w:styleId="Heading4">
    <w:name w:val="Heading 4"/>
    <w:basedOn w:val="Normal"/>
    <w:next w:val="Normal"/>
    <w:qFormat/>
    <w:rsid w:val="00794804"/>
    <w:pPr>
      <w:numPr>
        <w:ilvl w:val="3"/>
        <w:numId w:val="4"/>
      </w:numPr>
      <w:tabs>
        <w:tab w:val="left" w:pos="720" w:leader="none"/>
      </w:tabs>
      <w:spacing w:before="40" w:after="40"/>
      <w:ind w:firstLine="504"/>
      <w:jc w:val="both"/>
      <w:outlineLvl w:val="3"/>
    </w:pPr>
    <w:rPr>
      <w:i/>
      <w:iCs/>
    </w:rPr>
  </w:style>
  <w:style w:type="paragraph" w:styleId="Heading5">
    <w:name w:val="Heading 5"/>
    <w:basedOn w:val="Normal"/>
    <w:next w:val="Normal"/>
    <w:qFormat/>
    <w:pPr>
      <w:tabs>
        <w:tab w:val="clear" w:pos="720"/>
        <w:tab w:val="left" w:pos="360" w:leader="none"/>
      </w:tabs>
      <w:spacing w:before="160" w:after="80"/>
      <w:outlineLvl w:val="4"/>
    </w:pPr>
    <w:rPr>
      <w:smallCaps/>
    </w:rPr>
  </w:style>
  <w:style w:type="character" w:styleId="DefaultParagraphFont" w:default="1">
    <w:name w:val="Default Paragraph Font"/>
    <w:uiPriority w:val="1"/>
    <w:unhideWhenUsed/>
    <w:qFormat/>
    <w:rPr/>
  </w:style>
  <w:style w:type="character" w:styleId="TextoindependienteCar" w:customStyle="1">
    <w:name w:val="Texto independiente Car"/>
    <w:qFormat/>
    <w:rsid w:val="00e7596c"/>
    <w:rPr>
      <w:spacing w:val="-1"/>
      <w:lang w:val="x-none" w:eastAsia="x-none"/>
    </w:rPr>
  </w:style>
  <w:style w:type="character" w:styleId="EncabezadoCar" w:customStyle="1">
    <w:name w:val="Encabezado Car"/>
    <w:basedOn w:val="DefaultParagraphFont"/>
    <w:link w:val="Header"/>
    <w:qFormat/>
    <w:rsid w:val="001a3b3d"/>
    <w:rPr/>
  </w:style>
  <w:style w:type="character" w:styleId="PiedepginaCar" w:customStyle="1">
    <w:name w:val="Pie de página Car"/>
    <w:basedOn w:val="DefaultParagraphFont"/>
    <w:link w:val="Footer"/>
    <w:qFormat/>
    <w:rsid w:val="001a3b3d"/>
    <w:rPr/>
  </w:style>
  <w:style w:type="character" w:styleId="Hyperlink">
    <w:name w:val="Hyperlink"/>
    <w:basedOn w:val="DefaultParagraphFont"/>
    <w:rsid w:val="00156b74"/>
    <w:rPr>
      <w:color w:themeColor="hyperlink" w:val="0563C1"/>
      <w:u w:val="single"/>
    </w:rPr>
  </w:style>
  <w:style w:type="character" w:styleId="UnresolvedMention">
    <w:name w:val="Unresolved Mention"/>
    <w:basedOn w:val="DefaultParagraphFont"/>
    <w:uiPriority w:val="99"/>
    <w:semiHidden/>
    <w:unhideWhenUsed/>
    <w:qFormat/>
    <w:rsid w:val="00156b74"/>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TextoindependienteCar"/>
    <w:rsid w:val="00e7596c"/>
    <w:pPr>
      <w:tabs>
        <w:tab w:val="clear" w:pos="720"/>
        <w:tab w:val="left" w:pos="288" w:leader="none"/>
      </w:tabs>
      <w:spacing w:lineRule="auto" w:line="228" w:before="0" w:after="120"/>
      <w:ind w:firstLine="288"/>
      <w:jc w:val="both"/>
    </w:pPr>
    <w:rPr>
      <w:spacing w:val="-1"/>
      <w:lang w:val="x-none" w:eastAsia="x-none"/>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customStyle="1">
    <w:name w:val="Abstract"/>
    <w:qFormat/>
    <w:rsid w:val="00972203"/>
    <w:pPr>
      <w:widowControl/>
      <w:bidi w:val="0"/>
      <w:spacing w:before="0" w:after="200"/>
      <w:ind w:firstLine="272"/>
      <w:jc w:val="both"/>
    </w:pPr>
    <w:rPr>
      <w:rFonts w:ascii="Times New Roman" w:hAnsi="Times New Roman" w:eastAsia="SimSun" w:cs="Times New Roman"/>
      <w:b/>
      <w:bCs/>
      <w:color w:val="auto"/>
      <w:kern w:val="0"/>
      <w:sz w:val="18"/>
      <w:szCs w:val="18"/>
      <w:lang w:val="en-US" w:eastAsia="en-US" w:bidi="ar-SA"/>
    </w:rPr>
  </w:style>
  <w:style w:type="paragraph" w:styleId="Affiliation" w:customStyle="1">
    <w:name w:val="Affiliation"/>
    <w:qFormat/>
    <w:pPr>
      <w:widowControl/>
      <w:bidi w:val="0"/>
      <w:spacing w:before="0" w:after="0"/>
      <w:jc w:val="center"/>
    </w:pPr>
    <w:rPr>
      <w:rFonts w:ascii="Times New Roman" w:hAnsi="Times New Roman" w:eastAsia="SimSun" w:cs="Times New Roman"/>
      <w:color w:val="auto"/>
      <w:kern w:val="0"/>
      <w:sz w:val="20"/>
      <w:szCs w:val="20"/>
      <w:lang w:val="en-US" w:eastAsia="en-US" w:bidi="ar-SA"/>
    </w:rPr>
  </w:style>
  <w:style w:type="paragraph" w:styleId="Author" w:customStyle="1">
    <w:name w:val="Author"/>
    <w:qFormat/>
    <w:pPr>
      <w:widowControl/>
      <w:bidi w:val="0"/>
      <w:spacing w:before="360" w:after="40"/>
      <w:jc w:val="center"/>
    </w:pPr>
    <w:rPr>
      <w:rFonts w:ascii="Times New Roman" w:hAnsi="Times New Roman" w:eastAsia="SimSun" w:cs="Times New Roman"/>
      <w:color w:val="auto"/>
      <w:kern w:val="0"/>
      <w:sz w:val="22"/>
      <w:szCs w:val="22"/>
      <w:lang w:val="en-US" w:eastAsia="en-US" w:bidi="ar-SA"/>
    </w:rPr>
  </w:style>
  <w:style w:type="paragraph" w:styleId="bulletlist" w:customStyle="1">
    <w:name w:val="bullet list"/>
    <w:basedOn w:val="BodyText"/>
    <w:qFormat/>
    <w:rsid w:val="001b67dc"/>
    <w:pPr>
      <w:numPr>
        <w:ilvl w:val="0"/>
        <w:numId w:val="1"/>
      </w:numPr>
    </w:pPr>
    <w:rPr/>
  </w:style>
  <w:style w:type="paragraph" w:styleId="equation" w:customStyle="1">
    <w:name w:val="equation"/>
    <w:basedOn w:val="Normal"/>
    <w:qFormat/>
    <w:rsid w:val="008a2c7d"/>
    <w:pPr>
      <w:tabs>
        <w:tab w:val="clear" w:pos="720"/>
        <w:tab w:val="center" w:pos="2520" w:leader="none"/>
        <w:tab w:val="right" w:pos="5040" w:leader="none"/>
      </w:tabs>
      <w:spacing w:lineRule="auto" w:line="216" w:before="240" w:after="240"/>
    </w:pPr>
    <w:rPr>
      <w:rFonts w:ascii="Symbol" w:hAnsi="Symbol" w:cs="Symbol"/>
    </w:rPr>
  </w:style>
  <w:style w:type="paragraph" w:styleId="figurecaption" w:customStyle="1">
    <w:name w:val="figure caption"/>
    <w:qFormat/>
    <w:rsid w:val="005b0344"/>
    <w:pPr>
      <w:widowControl/>
      <w:numPr>
        <w:ilvl w:val="0"/>
        <w:numId w:val="2"/>
      </w:numPr>
      <w:tabs>
        <w:tab w:val="clear" w:pos="720"/>
        <w:tab w:val="left" w:pos="533" w:leader="none"/>
      </w:tabs>
      <w:bidi w:val="0"/>
      <w:spacing w:before="80" w:after="200"/>
      <w:ind w:hanging="0" w:start="0"/>
      <w:jc w:val="both"/>
    </w:pPr>
    <w:rPr>
      <w:rFonts w:ascii="Times New Roman" w:hAnsi="Times New Roman" w:eastAsia="SimSun" w:cs="Times New Roman"/>
      <w:color w:val="auto"/>
      <w:kern w:val="0"/>
      <w:sz w:val="16"/>
      <w:szCs w:val="16"/>
      <w:lang w:val="en-US" w:eastAsia="en-US" w:bidi="ar-SA"/>
    </w:rPr>
  </w:style>
  <w:style w:type="paragraph" w:styleId="footnote" w:customStyle="1">
    <w:name w:val="footnote"/>
    <w:qFormat/>
    <w:pPr>
      <w:widowControl/>
      <w:numPr>
        <w:ilvl w:val="0"/>
        <w:numId w:val="3"/>
      </w:numPr>
      <w:bidi w:val="0"/>
      <w:spacing w:before="0" w:after="40"/>
      <w:jc w:val="start"/>
    </w:pPr>
    <w:rPr>
      <w:rFonts w:ascii="Times New Roman" w:hAnsi="Times New Roman" w:eastAsia="SimSun" w:cs="Times New Roman"/>
      <w:color w:val="auto"/>
      <w:kern w:val="0"/>
      <w:sz w:val="16"/>
      <w:szCs w:val="16"/>
      <w:lang w:val="en-US" w:eastAsia="en-US" w:bidi="ar-SA"/>
    </w:rPr>
  </w:style>
  <w:style w:type="paragraph" w:styleId="papersubtitle" w:customStyle="1">
    <w:name w:val="paper subtitle"/>
    <w:qFormat/>
    <w:pPr>
      <w:widowControl/>
      <w:bidi w:val="0"/>
      <w:spacing w:before="0" w:after="120"/>
      <w:jc w:val="center"/>
    </w:pPr>
    <w:rPr>
      <w:rFonts w:eastAsia="MS Mincho" w:ascii="Times New Roman" w:hAnsi="Times New Roman" w:cs="Times New Roman"/>
      <w:color w:val="auto"/>
      <w:kern w:val="0"/>
      <w:sz w:val="28"/>
      <w:szCs w:val="28"/>
      <w:lang w:val="en-US" w:eastAsia="en-US" w:bidi="ar-SA"/>
    </w:rPr>
  </w:style>
  <w:style w:type="paragraph" w:styleId="papertitle" w:customStyle="1">
    <w:name w:val="paper title"/>
    <w:qFormat/>
    <w:pPr>
      <w:widowControl/>
      <w:bidi w:val="0"/>
      <w:spacing w:before="0" w:after="120"/>
      <w:jc w:val="center"/>
    </w:pPr>
    <w:rPr>
      <w:rFonts w:eastAsia="MS Mincho" w:ascii="Times New Roman" w:hAnsi="Times New Roman" w:cs="Times New Roman"/>
      <w:color w:val="auto"/>
      <w:kern w:val="0"/>
      <w:sz w:val="48"/>
      <w:szCs w:val="48"/>
      <w:lang w:val="en-US" w:eastAsia="en-US" w:bidi="ar-SA"/>
    </w:rPr>
  </w:style>
  <w:style w:type="paragraph" w:styleId="references" w:customStyle="1">
    <w:name w:val="references"/>
    <w:qFormat/>
    <w:pPr>
      <w:widowControl/>
      <w:numPr>
        <w:ilvl w:val="0"/>
        <w:numId w:val="5"/>
      </w:numPr>
      <w:bidi w:val="0"/>
      <w:spacing w:lineRule="exact" w:line="180" w:before="0" w:after="50"/>
      <w:jc w:val="both"/>
    </w:pPr>
    <w:rPr>
      <w:rFonts w:eastAsia="MS Mincho" w:ascii="Times New Roman" w:hAnsi="Times New Roman" w:cs="Times New Roman"/>
      <w:color w:val="auto"/>
      <w:kern w:val="0"/>
      <w:sz w:val="16"/>
      <w:szCs w:val="16"/>
      <w:lang w:val="en-US" w:eastAsia="en-US" w:bidi="ar-SA"/>
    </w:rPr>
  </w:style>
  <w:style w:type="paragraph" w:styleId="sponsors" w:customStyle="1">
    <w:name w:val="sponsors"/>
    <w:qFormat/>
    <w:pPr>
      <w:widowControl/>
      <w:pBdr>
        <w:top w:val="single" w:sz="4" w:space="2" w:color="000000"/>
      </w:pBdr>
      <w:bidi w:val="0"/>
      <w:spacing w:before="0" w:after="0"/>
      <w:ind w:firstLine="288"/>
      <w:jc w:val="start"/>
    </w:pPr>
    <w:rPr>
      <w:rFonts w:ascii="Times New Roman" w:hAnsi="Times New Roman" w:eastAsia="SimSun" w:cs="Times New Roman"/>
      <w:color w:val="auto"/>
      <w:kern w:val="0"/>
      <w:sz w:val="16"/>
      <w:szCs w:val="16"/>
      <w:lang w:val="en-US" w:eastAsia="en-US" w:bidi="ar-SA"/>
    </w:rPr>
  </w:style>
  <w:style w:type="paragraph" w:styleId="tablecolhead" w:customStyle="1">
    <w:name w:val="table col head"/>
    <w:basedOn w:val="Normal"/>
    <w:qFormat/>
    <w:pPr/>
    <w:rPr>
      <w:b/>
      <w:bCs/>
      <w:sz w:val="16"/>
      <w:szCs w:val="16"/>
    </w:rPr>
  </w:style>
  <w:style w:type="paragraph" w:styleId="tablecolsubhead" w:customStyle="1">
    <w:name w:val="table col subhead"/>
    <w:basedOn w:val="tablecolhead"/>
    <w:qFormat/>
    <w:pPr/>
    <w:rPr>
      <w:i/>
      <w:iCs/>
      <w:sz w:val="15"/>
      <w:szCs w:val="15"/>
    </w:rPr>
  </w:style>
  <w:style w:type="paragraph" w:styleId="tablecopy" w:customStyle="1">
    <w:name w:val="table copy"/>
    <w:qFormat/>
    <w:pPr>
      <w:widowControl/>
      <w:bidi w:val="0"/>
      <w:spacing w:before="0" w:after="0"/>
      <w:jc w:val="both"/>
    </w:pPr>
    <w:rPr>
      <w:rFonts w:ascii="Times New Roman" w:hAnsi="Times New Roman" w:eastAsia="SimSun" w:cs="Times New Roman"/>
      <w:color w:val="auto"/>
      <w:kern w:val="0"/>
      <w:sz w:val="16"/>
      <w:szCs w:val="16"/>
      <w:lang w:val="en-US" w:eastAsia="en-US" w:bidi="ar-SA"/>
    </w:rPr>
  </w:style>
  <w:style w:type="paragraph" w:styleId="tablefootnote" w:customStyle="1">
    <w:name w:val="table footnote"/>
    <w:qFormat/>
    <w:rsid w:val="005e2800"/>
    <w:pPr>
      <w:widowControl/>
      <w:numPr>
        <w:ilvl w:val="0"/>
        <w:numId w:val="7"/>
      </w:numPr>
      <w:bidi w:val="0"/>
      <w:spacing w:before="60" w:after="30"/>
      <w:ind w:hanging="29" w:start="58"/>
      <w:jc w:val="end"/>
    </w:pPr>
    <w:rPr>
      <w:rFonts w:ascii="Times New Roman" w:hAnsi="Times New Roman" w:eastAsia="SimSun" w:cs="Times New Roman"/>
      <w:color w:val="auto"/>
      <w:kern w:val="0"/>
      <w:sz w:val="12"/>
      <w:szCs w:val="12"/>
      <w:lang w:val="en-US" w:eastAsia="en-US" w:bidi="ar-SA"/>
    </w:rPr>
  </w:style>
  <w:style w:type="paragraph" w:styleId="tablehead" w:customStyle="1">
    <w:name w:val="table head"/>
    <w:qFormat/>
    <w:pPr>
      <w:widowControl/>
      <w:numPr>
        <w:ilvl w:val="0"/>
        <w:numId w:val="6"/>
      </w:numPr>
      <w:bidi w:val="0"/>
      <w:spacing w:lineRule="auto" w:line="216" w:before="240" w:after="120"/>
      <w:jc w:val="center"/>
    </w:pPr>
    <w:rPr>
      <w:rFonts w:ascii="Times New Roman" w:hAnsi="Times New Roman" w:eastAsia="SimSun" w:cs="Times New Roman"/>
      <w:smallCaps/>
      <w:color w:val="auto"/>
      <w:kern w:val="0"/>
      <w:sz w:val="16"/>
      <w:szCs w:val="16"/>
      <w:lang w:val="en-US" w:eastAsia="en-US" w:bidi="ar-SA"/>
    </w:rPr>
  </w:style>
  <w:style w:type="paragraph" w:styleId="Keywords" w:customStyle="1">
    <w:name w:val="Keywords"/>
    <w:basedOn w:val="Abstract"/>
    <w:qFormat/>
    <w:rsid w:val="00f9441b"/>
    <w:pPr>
      <w:spacing w:before="0" w:after="120"/>
      <w:ind w:firstLine="274"/>
    </w:pPr>
    <w:rPr>
      <w:i/>
    </w:rPr>
  </w:style>
  <w:style w:type="paragraph" w:styleId="HeaderandFooter">
    <w:name w:val="Header and Footer"/>
    <w:basedOn w:val="Normal"/>
    <w:qFormat/>
    <w:pPr/>
    <w:rPr/>
  </w:style>
  <w:style w:type="paragraph" w:styleId="Header">
    <w:name w:val="Header"/>
    <w:basedOn w:val="Normal"/>
    <w:link w:val="EncabezadoCar"/>
    <w:rsid w:val="001a3b3d"/>
    <w:pPr>
      <w:tabs>
        <w:tab w:val="clear" w:pos="720"/>
        <w:tab w:val="center" w:pos="4680" w:leader="none"/>
        <w:tab w:val="right" w:pos="9360" w:leader="none"/>
      </w:tabs>
    </w:pPr>
    <w:rPr/>
  </w:style>
  <w:style w:type="paragraph" w:styleId="Footer">
    <w:name w:val="Footer"/>
    <w:basedOn w:val="Normal"/>
    <w:link w:val="PiedepginaCar"/>
    <w:rsid w:val="001a3b3d"/>
    <w:pPr>
      <w:tabs>
        <w:tab w:val="clear" w:pos="720"/>
        <w:tab w:val="center" w:pos="4680" w:leader="none"/>
        <w:tab w:val="right" w:pos="9360" w:leader="none"/>
      </w:tabs>
    </w:pPr>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start w:w="108" w:type="dxa"/>
        <w:bottom w:w="0" w:type="dxa"/>
        <w:end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 Id="rId100" Type="http://schemas.openxmlformats.org/officeDocument/2006/relationships/image" Target="media/image1.emf"/></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l="0" t="0" r="0" b="0"/>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l="0" t="0" r="0" b="0"/>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en-US</dc:language>
  <cp:lastModifiedBy>Angel Parejo</cp:lastModifiedBy>
  <dcterms:modified xsi:type="dcterms:W3CDTF">2026-06-10T01:28:00Z</dcterms:modified>
  <cp:revision>38</cp:revision>
  <dc:subject/>
  <dc:title>Paper Title (use style: paper title)</dc:title>
</cp:coreProperties>
</file>