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00"/>
        <w:jc w:val="center"/>
      </w:pPr>
      <w:r>
        <w:rPr>
          <w:b/>
          <w:bCs/>
          <w:color w:val="1F4E3D"/>
          <w:sz w:val="30"/>
          <w:szCs w:val="30"/>
        </w:rPr>
        <w:t xml:space="preserve">AGROINDUSTRIAL LOS ROBLES S.A.</w:t>
      </w:r>
    </w:p>
    <w:p>
      <w:pPr>
        <w:spacing w:after="600"/>
        <w:jc w:val="center"/>
      </w:pPr>
      <w:r>
        <w:rPr>
          <w:color w:val="666666"/>
          <w:sz w:val="22"/>
          <w:szCs w:val="22"/>
        </w:rPr>
        <w:t xml:space="preserve">Gerencia de Abastecimiento y Proveedores</w:t>
      </w:r>
    </w:p>
    <w:p>
      <w:pPr>
        <w:spacing w:after="200"/>
        <w:jc w:val="center"/>
      </w:pPr>
      <w:r>
        <w:rPr>
          <w:b/>
          <w:bCs/>
          <w:color w:val="1F4E3D"/>
          <w:sz w:val="40"/>
          <w:szCs w:val="40"/>
        </w:rPr>
        <w:t xml:space="preserve">INFORME FINAL DE EVALUACIÓN DE PROPUESTAS</w:t>
      </w:r>
    </w:p>
    <w:p>
      <w:pPr>
        <w:spacing w:after="100"/>
        <w:jc w:val="center"/>
      </w:pPr>
      <w:r>
        <w:rPr>
          <w:b/>
          <w:bCs/>
          <w:sz w:val="26"/>
          <w:szCs w:val="26"/>
        </w:rPr>
        <w:t xml:space="preserve">Licitación Pública N° 128-2026</w:t>
      </w:r>
    </w:p>
    <w:p>
      <w:pPr>
        <w:spacing w:after="600"/>
        <w:jc w:val="center"/>
      </w:pPr>
      <w:r>
        <w:rPr>
          <w:i/>
          <w:iCs/>
          <w:color w:val="666666"/>
          <w:sz w:val="22"/>
          <w:szCs w:val="22"/>
        </w:rPr>
        <w:t xml:space="preserve">Suministro, Instalación y Mantención de Equipos de Refrigeración Industrial — Planta de Procesos Los Ángeles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tcMar>
              <w:top w:type="dxa" w:w="60"/>
              <w:left w:type="dxa" w:w="100"/>
              <w:bottom w:type="dxa" w:w="60"/>
              <w:right w:type="dxa" w:w="100"/>
            </w:tcMar>
            <w:vAlign w:val="center"/>
          </w:tcPr>
          <w:p>
            <w:r>
              <w:rPr>
                <w:b w:val="false"/>
                <w:bCs w:val="false"/>
                <w:sz w:val="18"/>
                <w:szCs w:val="18"/>
              </w:rPr>
              <w:t xml:space="preserve">Destinatario</w:t>
            </w:r>
          </w:p>
        </w:tc>
        <w:tc>
          <w:tcPr>
            <w:tcW w:type="dxa" w:w="6200"/>
            <w:tcMar>
              <w:top w:type="dxa" w:w="60"/>
              <w:left w:type="dxa" w:w="100"/>
              <w:bottom w:type="dxa" w:w="60"/>
              <w:right w:type="dxa" w:w="100"/>
            </w:tcMar>
            <w:vAlign w:val="center"/>
          </w:tcPr>
          <w:p>
            <w:r>
              <w:rPr>
                <w:b w:val="false"/>
                <w:bCs w:val="false"/>
                <w:sz w:val="18"/>
                <w:szCs w:val="18"/>
              </w:rPr>
              <w:t xml:space="preserve">Comité Directivo / Comité de Evaluación (Gerencia de Abastecimiento y Proveedores, Gerencia de Planta Los Ángeles, Gerencia de Finanzas, Asesoría Legal)</w:t>
            </w:r>
          </w:p>
        </w:tc>
      </w:tr>
      <w:tr>
        <w:tc>
          <w:tcPr>
            <w:tcW w:type="dxa" w:w="3200"/>
            <w:tcMar>
              <w:top w:type="dxa" w:w="60"/>
              <w:left w:type="dxa" w:w="100"/>
              <w:bottom w:type="dxa" w:w="60"/>
              <w:right w:type="dxa" w:w="100"/>
            </w:tcMar>
            <w:vAlign w:val="center"/>
          </w:tcPr>
          <w:p>
            <w:r>
              <w:rPr>
                <w:b w:val="false"/>
                <w:bCs w:val="false"/>
                <w:sz w:val="18"/>
                <w:szCs w:val="18"/>
              </w:rPr>
              <w:t xml:space="preserve">Estado del documento</w:t>
            </w:r>
          </w:p>
        </w:tc>
        <w:tc>
          <w:tcPr>
            <w:tcW w:type="dxa" w:w="6200"/>
            <w:tcMar>
              <w:top w:type="dxa" w:w="60"/>
              <w:left w:type="dxa" w:w="100"/>
              <w:bottom w:type="dxa" w:w="60"/>
              <w:right w:type="dxa" w:w="100"/>
            </w:tcMar>
            <w:vAlign w:val="center"/>
          </w:tcPr>
          <w:p>
            <w:r>
              <w:rPr>
                <w:b w:val="false"/>
                <w:bCs w:val="false"/>
                <w:sz w:val="18"/>
                <w:szCs w:val="18"/>
              </w:rPr>
              <w:t xml:space="preserve">BORRADOR — preliminar, pendiente de segunda ronda de aclaraciones y de resolución del Directorio (ver Sección 4)</w:t>
            </w:r>
          </w:p>
        </w:tc>
      </w:tr>
      <w:tr>
        <w:tc>
          <w:tcPr>
            <w:tcW w:type="dxa" w:w="3200"/>
            <w:tcMar>
              <w:top w:type="dxa" w:w="60"/>
              <w:left w:type="dxa" w:w="100"/>
              <w:bottom w:type="dxa" w:w="60"/>
              <w:right w:type="dxa" w:w="100"/>
            </w:tcMar>
            <w:vAlign w:val="center"/>
          </w:tcPr>
          <w:p>
            <w:r>
              <w:rPr>
                <w:b w:val="false"/>
                <w:bCs w:val="false"/>
                <w:sz w:val="18"/>
                <w:szCs w:val="18"/>
              </w:rPr>
              <w:t xml:space="preserve">Presupuesto referencial</w:t>
            </w:r>
          </w:p>
        </w:tc>
        <w:tc>
          <w:tcPr>
            <w:tcW w:type="dxa" w:w="6200"/>
            <w:tcMar>
              <w:top w:type="dxa" w:w="60"/>
              <w:left w:type="dxa" w:w="100"/>
              <w:bottom w:type="dxa" w:w="60"/>
              <w:right w:type="dxa" w:w="100"/>
            </w:tcMar>
            <w:vAlign w:val="center"/>
          </w:tcPr>
          <w:p>
            <w:r>
              <w:rPr>
                <w:b w:val="false"/>
                <w:bCs w:val="false"/>
                <w:sz w:val="18"/>
                <w:szCs w:val="18"/>
              </w:rPr>
              <w:t xml:space="preserve">$186.500.000 (IVA incluido)</w:t>
            </w:r>
          </w:p>
        </w:tc>
      </w:tr>
      <w:tr>
        <w:tc>
          <w:tcPr>
            <w:tcW w:type="dxa" w:w="3200"/>
            <w:tcMar>
              <w:top w:type="dxa" w:w="60"/>
              <w:left w:type="dxa" w:w="100"/>
              <w:bottom w:type="dxa" w:w="60"/>
              <w:right w:type="dxa" w:w="100"/>
            </w:tcMar>
            <w:vAlign w:val="center"/>
          </w:tcPr>
          <w:p>
            <w:r>
              <w:rPr>
                <w:b w:val="false"/>
                <w:bCs w:val="false"/>
                <w:sz w:val="18"/>
                <w:szCs w:val="18"/>
              </w:rPr>
              <w:t xml:space="preserve">Propuestas recibidas</w:t>
            </w:r>
          </w:p>
        </w:tc>
        <w:tc>
          <w:tcPr>
            <w:tcW w:type="dxa" w:w="6200"/>
            <w:tcMar>
              <w:top w:type="dxa" w:w="60"/>
              <w:left w:type="dxa" w:w="100"/>
              <w:bottom w:type="dxa" w:w="60"/>
              <w:right w:type="dxa" w:w="100"/>
            </w:tcMar>
            <w:vAlign w:val="center"/>
          </w:tcPr>
          <w:p>
            <w:r>
              <w:rPr>
                <w:b w:val="false"/>
                <w:bCs w:val="false"/>
                <w:sz w:val="18"/>
                <w:szCs w:val="18"/>
              </w:rPr>
              <w:t xml:space="preserve">3 (Frío Industrial Andino Ltda., RefriGlobal Ingeniería S.A., NH3 Technologies Chile SpA)</w:t>
            </w:r>
          </w:p>
        </w:tc>
      </w:tr>
      <w:tr>
        <w:tc>
          <w:tcPr>
            <w:tcW w:type="dxa" w:w="3200"/>
            <w:tcMar>
              <w:top w:type="dxa" w:w="60"/>
              <w:left w:type="dxa" w:w="100"/>
              <w:bottom w:type="dxa" w:w="60"/>
              <w:right w:type="dxa" w:w="100"/>
            </w:tcMar>
            <w:vAlign w:val="center"/>
          </w:tcPr>
          <w:p>
            <w:r>
              <w:rPr>
                <w:b w:val="false"/>
                <w:bCs w:val="false"/>
                <w:sz w:val="18"/>
                <w:szCs w:val="18"/>
              </w:rPr>
              <w:t xml:space="preserve">Fecha del informe</w:t>
            </w:r>
          </w:p>
        </w:tc>
        <w:tc>
          <w:tcPr>
            <w:tcW w:type="dxa" w:w="6200"/>
            <w:tcMar>
              <w:top w:type="dxa" w:w="60"/>
              <w:left w:type="dxa" w:w="100"/>
              <w:bottom w:type="dxa" w:w="60"/>
              <w:right w:type="dxa" w:w="100"/>
            </w:tcMar>
            <w:vAlign w:val="center"/>
          </w:tcPr>
          <w:p>
            <w:r>
              <w:rPr>
                <w:b w:val="false"/>
                <w:bCs w:val="false"/>
                <w:sz w:val="18"/>
                <w:szCs w:val="18"/>
              </w:rPr>
              <w:t xml:space="preserve">07 de septiembre de 2026</w:t>
            </w:r>
          </w:p>
        </w:tc>
      </w:tr>
      <w:tr>
        <w:tc>
          <w:tcPr>
            <w:tcW w:type="dxa" w:w="3200"/>
            <w:tcMar>
              <w:top w:type="dxa" w:w="60"/>
              <w:left w:type="dxa" w:w="100"/>
              <w:bottom w:type="dxa" w:w="60"/>
              <w:right w:type="dxa" w:w="100"/>
            </w:tcMar>
            <w:vAlign w:val="center"/>
          </w:tcPr>
          <w:p>
            <w:r>
              <w:rPr>
                <w:b w:val="false"/>
                <w:bCs w:val="false"/>
                <w:sz w:val="18"/>
                <w:szCs w:val="18"/>
              </w:rPr>
              <w:t xml:space="preserve">Elaborado por</w:t>
            </w:r>
          </w:p>
        </w:tc>
        <w:tc>
          <w:tcPr>
            <w:tcW w:type="dxa" w:w="6200"/>
            <w:tcMar>
              <w:top w:type="dxa" w:w="60"/>
              <w:left w:type="dxa" w:w="100"/>
              <w:bottom w:type="dxa" w:w="60"/>
              <w:right w:type="dxa" w:w="100"/>
            </w:tcMar>
            <w:vAlign w:val="center"/>
          </w:tcPr>
          <w:p>
            <w:r>
              <w:rPr>
                <w:b w:val="false"/>
                <w:bCs w:val="false"/>
                <w:sz w:val="18"/>
                <w:szCs w:val="18"/>
              </w:rPr>
              <w:t xml:space="preserve">Agente de evaluación de propuestas — Gerencia de Abastecimiento y Proveedores</w:t>
            </w:r>
          </w:p>
        </w:tc>
      </w:tr>
    </w:tbl>
    <w:p>
      <w:pPr>
        <w:spacing w:after="200" w:before="300"/>
      </w:pPr>
      <w:r>
        <w:rPr>
          <w:i/>
          <w:iCs/>
          <w:color w:val="666666"/>
          <w:sz w:val="16"/>
          <w:szCs w:val="16"/>
        </w:rPr>
        <w:t xml:space="preserve">Uso interno — no distribuir a oferentes. Documento ficticio generado con fines de prueba de software; no corresponde a una entidad ni a un proceso real.</w:t>
      </w:r>
    </w:p>
    <w:p>
      <w:r>
        <w:br w:type="page"/>
      </w:r>
    </w:p>
    <w:p>
      <w:pPr>
        <w:pStyle w:val="Heading1"/>
        <w:spacing w:after="150" w:before="300"/>
      </w:pPr>
      <w:r>
        <w:t xml:space="preserve">1. Resumen Ejecutivo</w:t>
      </w:r>
    </w:p>
    <w:p>
      <w:pPr>
        <w:spacing w:after="120"/>
      </w:pPr>
      <w:r>
        <w:rPr>
          <w:b w:val="false"/>
          <w:bCs w:val="false"/>
          <w:i w:val="false"/>
          <w:iCs w:val="false"/>
        </w:rPr>
        <w:t xml:space="preserve">Agroindustrial Los Robles S.A. convocó la Licitación Pública N° 128-2026 para el suministro, instalación y mantención de equipos de refrigeración industrial de su Planta de Procesos Los Ángeles, con un presupuesto referencial de $186.500.000 (IVA incluido). Al cierre de recepción se recibieron 3 propuestas: Frío Industrial Andino Ltda., RefriGlobal Ingeniería S.A. y NH3 Technologies Chile SpA.</w:t>
      </w:r>
    </w:p>
    <w:p>
      <w:pPr>
        <w:spacing w:after="120"/>
      </w:pPr>
      <w:r>
        <w:rPr>
          <w:b w:val="false"/>
          <w:bCs w:val="false"/>
          <w:i w:val="false"/>
          <w:iCs w:val="false"/>
        </w:rPr>
        <w:t xml:space="preserve">La evaluación se realizó en dos dimensiones ponderadas conforme al punto 7 de las Bases y a la matriz de evaluación oficial: un componente técnico (60% — Experiencia y proyectos similares 25%, Plazo de entrega e instalación 15%, Cumplimiento de especificaciones técnicas 20%) y un componente comercial (40% — Precio ofertado, calculado según la fórmula oficial de la matriz). El detalle completo de criterios y pesos se presenta en el Anexo de este informe.</w:t>
      </w:r>
    </w:p>
    <w:p>
      <w:pPr>
        <w:spacing w:after="120"/>
      </w:pPr>
      <w:r>
        <w:rPr>
          <w:b w:val="false"/>
          <w:bCs w:val="false"/>
          <w:i w:val="false"/>
          <w:iCs w:val="false"/>
        </w:rPr>
        <w:t xml:space="preserve">Resultado: la oferta de NH3 Technologies obtuvo el puntaje bruto más alto (6,66 sobre 7,00), pero su precio ($197.200.000) excede en 5,74% el presupuesto referencial, superando el margen máximo de 5% que el punto 3 de las Bases y el punto 5 de la Política de Compras (POL-ABA-01) fijan como causal expresa de inadmisibilidad. Entre las ofertas admisibles, RefriGlobal Ingeniería obtuvo el primer lugar (5,9151/7,00) y Frío Industrial Andino el segundo (5,12/7,00), con una diferencia de 0,80 puntos entre ambas, notificada y revisada con el Comité.</w:t>
      </w:r>
    </w:p>
    <w:p>
      <w:pPr>
        <w:spacing w:after="120"/>
      </w:pPr>
      <w:r>
        <w:rPr>
          <w:b/>
          <w:bCs/>
          <w:i w:val="false"/>
          <w:iCs w:val="false"/>
        </w:rPr>
        <w:t xml:space="preserve">Decisión recomendada:</w:t>
      </w:r>
    </w:p>
    <w:p>
      <w:pPr>
        <w:pStyle w:val="ListParagraph"/>
        <w:numPr>
          <w:ilvl w:val="0"/>
          <w:numId w:val="1"/>
        </w:numPr>
        <w:spacing w:after="80"/>
      </w:pPr>
      <w:r>
        <w:rPr>
          <w:b w:val="false"/>
          <w:bCs w:val="false"/>
        </w:rPr>
        <w:t xml:space="preserve">Mantener la shortlist de 3 proveedores aprobada por el Comité (RefriGlobal, Frío Industrial Andino y NH3 Technologies) para una segunda ronda de aclaraciones, en igualdad de condiciones para los tres.</w:t>
      </w:r>
    </w:p>
    <w:p>
      <w:pPr>
        <w:pStyle w:val="ListParagraph"/>
        <w:numPr>
          <w:ilvl w:val="0"/>
          <w:numId w:val="1"/>
        </w:numPr>
        <w:spacing w:after="80"/>
      </w:pPr>
      <w:r>
        <w:rPr>
          <w:b w:val="false"/>
          <w:bCs w:val="false"/>
        </w:rPr>
        <w:t xml:space="preserve">No proceder aún a la adjudicación final: quedan pendientes (a) las respuestas de los 3 oferentes a la solicitud de aclaraciones (Anexo N°5 desglosado, SLA, salud financiera) y (b) la resolución expresa del Directorio sobre la excepción de admisibilidad de precio de NH3 Technologies, exigida por los puntos 3 y 7 de POL-ABA-01.</w:t>
      </w:r>
    </w:p>
    <w:p>
      <w:pPr>
        <w:pStyle w:val="ListParagraph"/>
        <w:numPr>
          <w:ilvl w:val="0"/>
          <w:numId w:val="1"/>
        </w:numPr>
        <w:spacing w:after="80"/>
      </w:pPr>
      <w:r>
        <w:rPr>
          <w:b w:val="false"/>
          <w:bCs w:val="false"/>
        </w:rPr>
        <w:t xml:space="preserve">Si el Directorio no autoriza la excepción, NH3 Technologies queda fuera del proceso y la recomendación de adjudicación, sujeta a la segunda ronda, se orienta hacia RefriGlobal Ingeniería por su mejor relación precio-calidad-riesgo entre las ofertas admisibles.</w:t>
      </w:r>
    </w:p>
    <w:p>
      <w:r>
        <w:br w:type="page"/>
      </w:r>
    </w:p>
    <w:p>
      <w:pPr>
        <w:pStyle w:val="Heading1"/>
        <w:spacing w:after="150" w:before="300"/>
      </w:pPr>
      <w:r>
        <w:t xml:space="preserve">2. Tabla Comparativa Técnica y Comercial</w:t>
      </w:r>
    </w:p>
    <w:tbl>
      <w:tblPr>
        <w:tblW w:type="dxa" w:w="7750"/>
        <w:tblBorders>
          <w:top w:val="single" w:color="auto" w:sz="4"/>
          <w:left w:val="single" w:color="auto" w:sz="4"/>
          <w:bottom w:val="single" w:color="auto" w:sz="4"/>
          <w:right w:val="single" w:color="auto" w:sz="4"/>
          <w:insideH w:val="single" w:color="auto" w:sz="4"/>
          <w:insideV w:val="single" w:color="auto" w:sz="4"/>
        </w:tblBorders>
      </w:tblPr>
      <w:tblGrid>
        <w:gridCol w:w="3400"/>
        <w:gridCol w:w="1450"/>
        <w:gridCol w:w="1450"/>
        <w:gridCol w:w="1450"/>
      </w:tblGrid>
      <w:tr>
        <w:trPr>
          <w:tblHeader/>
        </w:trPr>
        <w:tc>
          <w:tcPr>
            <w:tcW w:type="dxa" w:w="3400"/>
            <w:shd w:fill="1F4E3D" w:val="clear"/>
            <w:tcMar>
              <w:top w:type="dxa" w:w="60"/>
              <w:left w:type="dxa" w:w="100"/>
              <w:bottom w:type="dxa" w:w="60"/>
              <w:right w:type="dxa" w:w="100"/>
            </w:tcMar>
            <w:vAlign w:val="center"/>
          </w:tcPr>
          <w:p>
            <w:r>
              <w:rPr>
                <w:b/>
                <w:bCs/>
                <w:color w:val="FFFFFF"/>
                <w:sz w:val="18"/>
                <w:szCs w:val="18"/>
              </w:rPr>
              <w:t xml:space="preserve">Subcriterio (peso)</w:t>
            </w:r>
          </w:p>
        </w:tc>
        <w:tc>
          <w:tcPr>
            <w:tcW w:type="dxa" w:w="1450"/>
            <w:shd w:fill="1F4E3D" w:val="clear"/>
            <w:tcMar>
              <w:top w:type="dxa" w:w="60"/>
              <w:left w:type="dxa" w:w="100"/>
              <w:bottom w:type="dxa" w:w="60"/>
              <w:right w:type="dxa" w:w="100"/>
            </w:tcMar>
            <w:vAlign w:val="center"/>
          </w:tcPr>
          <w:p>
            <w:r>
              <w:rPr>
                <w:b/>
                <w:bCs/>
                <w:color w:val="FFFFFF"/>
                <w:sz w:val="18"/>
                <w:szCs w:val="18"/>
              </w:rPr>
              <w:t xml:space="preserve">A</w:t>
            </w:r>
          </w:p>
        </w:tc>
        <w:tc>
          <w:tcPr>
            <w:tcW w:type="dxa" w:w="1450"/>
            <w:shd w:fill="1F4E3D" w:val="clear"/>
            <w:tcMar>
              <w:top w:type="dxa" w:w="60"/>
              <w:left w:type="dxa" w:w="100"/>
              <w:bottom w:type="dxa" w:w="60"/>
              <w:right w:type="dxa" w:w="100"/>
            </w:tcMar>
            <w:vAlign w:val="center"/>
          </w:tcPr>
          <w:p>
            <w:r>
              <w:rPr>
                <w:b/>
                <w:bCs/>
                <w:color w:val="FFFFFF"/>
                <w:sz w:val="18"/>
                <w:szCs w:val="18"/>
              </w:rPr>
              <w:t xml:space="preserve">B</w:t>
            </w:r>
          </w:p>
        </w:tc>
        <w:tc>
          <w:tcPr>
            <w:tcW w:type="dxa" w:w="1450"/>
            <w:shd w:fill="1F4E3D" w:val="clear"/>
            <w:tcMar>
              <w:top w:type="dxa" w:w="60"/>
              <w:left w:type="dxa" w:w="100"/>
              <w:bottom w:type="dxa" w:w="60"/>
              <w:right w:type="dxa" w:w="100"/>
            </w:tcMar>
            <w:vAlign w:val="center"/>
          </w:tcPr>
          <w:p>
            <w:r>
              <w:rPr>
                <w:b/>
                <w:bCs/>
                <w:color w:val="FFFFFF"/>
                <w:sz w:val="18"/>
                <w:szCs w:val="18"/>
              </w:rPr>
              <w:t xml:space="preserve">C</w:t>
            </w:r>
          </w:p>
        </w:tc>
      </w:tr>
      <w:tr>
        <w:tc>
          <w:tcPr>
            <w:tcW w:type="dxa" w:w="3400"/>
            <w:tcMar>
              <w:top w:type="dxa" w:w="60"/>
              <w:left w:type="dxa" w:w="100"/>
              <w:bottom w:type="dxa" w:w="60"/>
              <w:right w:type="dxa" w:w="100"/>
            </w:tcMar>
            <w:vAlign w:val="center"/>
          </w:tcPr>
          <w:p>
            <w:r>
              <w:rPr>
                <w:b w:val="false"/>
                <w:bCs w:val="false"/>
                <w:sz w:val="18"/>
                <w:szCs w:val="18"/>
              </w:rPr>
              <w:t xml:space="preserve">N° proyectos similares (10%)</w:t>
            </w:r>
          </w:p>
        </w:tc>
        <w:tc>
          <w:tcPr>
            <w:tcW w:type="dxa" w:w="1450"/>
            <w:tcMar>
              <w:top w:type="dxa" w:w="60"/>
              <w:left w:type="dxa" w:w="100"/>
              <w:bottom w:type="dxa" w:w="60"/>
              <w:right w:type="dxa" w:w="100"/>
            </w:tcMar>
            <w:vAlign w:val="center"/>
          </w:tcPr>
          <w:p>
            <w:r>
              <w:rPr>
                <w:b w:val="false"/>
                <w:bCs w:val="false"/>
                <w:sz w:val="18"/>
                <w:szCs w:val="18"/>
              </w:rPr>
              <w:t xml:space="preserve">4</w:t>
            </w:r>
          </w:p>
        </w:tc>
        <w:tc>
          <w:tcPr>
            <w:tcW w:type="dxa" w:w="1450"/>
            <w:tcMar>
              <w:top w:type="dxa" w:w="60"/>
              <w:left w:type="dxa" w:w="100"/>
              <w:bottom w:type="dxa" w:w="60"/>
              <w:right w:type="dxa" w:w="100"/>
            </w:tcMar>
            <w:vAlign w:val="center"/>
          </w:tcPr>
          <w:p>
            <w:r>
              <w:rPr>
                <w:b w:val="false"/>
                <w:bCs w:val="false"/>
                <w:sz w:val="18"/>
                <w:szCs w:val="18"/>
              </w:rPr>
              <w:t xml:space="preserve">7</w:t>
            </w:r>
          </w:p>
        </w:tc>
        <w:tc>
          <w:tcPr>
            <w:tcW w:type="dxa" w:w="1450"/>
            <w:tcMar>
              <w:top w:type="dxa" w:w="60"/>
              <w:left w:type="dxa" w:w="100"/>
              <w:bottom w:type="dxa" w:w="60"/>
              <w:right w:type="dxa" w:w="100"/>
            </w:tcMar>
            <w:vAlign w:val="center"/>
          </w:tcPr>
          <w:p>
            <w:r>
              <w:rPr>
                <w:b w:val="false"/>
                <w:bCs w:val="false"/>
                <w:sz w:val="18"/>
                <w:szCs w:val="18"/>
              </w:rPr>
              <w:t xml:space="preserve">7</w:t>
            </w:r>
          </w:p>
        </w:tc>
      </w:tr>
      <w:tr>
        <w:tc>
          <w:tcPr>
            <w:tcW w:type="dxa" w:w="3400"/>
            <w:tcMar>
              <w:top w:type="dxa" w:w="60"/>
              <w:left w:type="dxa" w:w="100"/>
              <w:bottom w:type="dxa" w:w="60"/>
              <w:right w:type="dxa" w:w="100"/>
            </w:tcMar>
            <w:vAlign w:val="center"/>
          </w:tcPr>
          <w:p>
            <w:r>
              <w:rPr>
                <w:b w:val="false"/>
                <w:bCs w:val="false"/>
                <w:sz w:val="18"/>
                <w:szCs w:val="18"/>
              </w:rPr>
              <w:t xml:space="preserve">Monto y envergadura (8%)</w:t>
            </w:r>
          </w:p>
        </w:tc>
        <w:tc>
          <w:tcPr>
            <w:tcW w:type="dxa" w:w="1450"/>
            <w:tcMar>
              <w:top w:type="dxa" w:w="60"/>
              <w:left w:type="dxa" w:w="100"/>
              <w:bottom w:type="dxa" w:w="60"/>
              <w:right w:type="dxa" w:w="100"/>
            </w:tcMar>
            <w:vAlign w:val="center"/>
          </w:tcPr>
          <w:p>
            <w:r>
              <w:rPr>
                <w:b w:val="false"/>
                <w:bCs w:val="false"/>
                <w:sz w:val="18"/>
                <w:szCs w:val="18"/>
              </w:rPr>
              <w:t xml:space="preserve">3</w:t>
            </w:r>
          </w:p>
        </w:tc>
        <w:tc>
          <w:tcPr>
            <w:tcW w:type="dxa" w:w="1450"/>
            <w:tcMar>
              <w:top w:type="dxa" w:w="60"/>
              <w:left w:type="dxa" w:w="100"/>
              <w:bottom w:type="dxa" w:w="60"/>
              <w:right w:type="dxa" w:w="100"/>
            </w:tcMar>
            <w:vAlign w:val="center"/>
          </w:tcPr>
          <w:p>
            <w:r>
              <w:rPr>
                <w:b w:val="false"/>
                <w:bCs w:val="false"/>
                <w:sz w:val="18"/>
                <w:szCs w:val="18"/>
              </w:rPr>
              <w:t xml:space="preserve">5</w:t>
            </w:r>
          </w:p>
        </w:tc>
        <w:tc>
          <w:tcPr>
            <w:tcW w:type="dxa" w:w="1450"/>
            <w:tcMar>
              <w:top w:type="dxa" w:w="60"/>
              <w:left w:type="dxa" w:w="100"/>
              <w:bottom w:type="dxa" w:w="60"/>
              <w:right w:type="dxa" w:w="100"/>
            </w:tcMar>
            <w:vAlign w:val="center"/>
          </w:tcPr>
          <w:p>
            <w:r>
              <w:rPr>
                <w:b w:val="false"/>
                <w:bCs w:val="false"/>
                <w:sz w:val="18"/>
                <w:szCs w:val="18"/>
              </w:rPr>
              <w:t xml:space="preserve">7</w:t>
            </w:r>
          </w:p>
        </w:tc>
      </w:tr>
      <w:tr>
        <w:tc>
          <w:tcPr>
            <w:tcW w:type="dxa" w:w="3400"/>
            <w:tcMar>
              <w:top w:type="dxa" w:w="60"/>
              <w:left w:type="dxa" w:w="100"/>
              <w:bottom w:type="dxa" w:w="60"/>
              <w:right w:type="dxa" w:w="100"/>
            </w:tcMar>
            <w:vAlign w:val="center"/>
          </w:tcPr>
          <w:p>
            <w:r>
              <w:rPr>
                <w:b w:val="false"/>
                <w:bCs w:val="false"/>
                <w:sz w:val="18"/>
                <w:szCs w:val="18"/>
              </w:rPr>
              <w:t xml:space="preserve">Pertinencia / respaldo docum. (7%)</w:t>
            </w:r>
          </w:p>
        </w:tc>
        <w:tc>
          <w:tcPr>
            <w:tcW w:type="dxa" w:w="1450"/>
            <w:tcMar>
              <w:top w:type="dxa" w:w="60"/>
              <w:left w:type="dxa" w:w="100"/>
              <w:bottom w:type="dxa" w:w="60"/>
              <w:right w:type="dxa" w:w="100"/>
            </w:tcMar>
            <w:vAlign w:val="center"/>
          </w:tcPr>
          <w:p>
            <w:r>
              <w:rPr>
                <w:b w:val="false"/>
                <w:bCs w:val="false"/>
                <w:sz w:val="18"/>
                <w:szCs w:val="18"/>
              </w:rPr>
              <w:t xml:space="preserve">4</w:t>
            </w:r>
          </w:p>
        </w:tc>
        <w:tc>
          <w:tcPr>
            <w:tcW w:type="dxa" w:w="1450"/>
            <w:tcMar>
              <w:top w:type="dxa" w:w="60"/>
              <w:left w:type="dxa" w:w="100"/>
              <w:bottom w:type="dxa" w:w="60"/>
              <w:right w:type="dxa" w:w="100"/>
            </w:tcMar>
            <w:vAlign w:val="center"/>
          </w:tcPr>
          <w:p>
            <w:r>
              <w:rPr>
                <w:b w:val="false"/>
                <w:bCs w:val="false"/>
                <w:sz w:val="18"/>
                <w:szCs w:val="18"/>
              </w:rPr>
              <w:t xml:space="preserve">5</w:t>
            </w:r>
          </w:p>
        </w:tc>
        <w:tc>
          <w:tcPr>
            <w:tcW w:type="dxa" w:w="1450"/>
            <w:tcMar>
              <w:top w:type="dxa" w:w="60"/>
              <w:left w:type="dxa" w:w="100"/>
              <w:bottom w:type="dxa" w:w="60"/>
              <w:right w:type="dxa" w:w="100"/>
            </w:tcMar>
            <w:vAlign w:val="center"/>
          </w:tcPr>
          <w:p>
            <w:r>
              <w:rPr>
                <w:b w:val="false"/>
                <w:bCs w:val="false"/>
                <w:sz w:val="18"/>
                <w:szCs w:val="18"/>
              </w:rPr>
              <w:t xml:space="preserve">6</w:t>
            </w:r>
          </w:p>
        </w:tc>
      </w:tr>
      <w:tr>
        <w:tc>
          <w:tcPr>
            <w:tcW w:type="dxa" w:w="3400"/>
            <w:tcMar>
              <w:top w:type="dxa" w:w="60"/>
              <w:left w:type="dxa" w:w="100"/>
              <w:bottom w:type="dxa" w:w="60"/>
              <w:right w:type="dxa" w:w="100"/>
            </w:tcMar>
            <w:vAlign w:val="center"/>
          </w:tcPr>
          <w:p>
            <w:r>
              <w:rPr>
                <w:b w:val="false"/>
                <w:bCs w:val="false"/>
                <w:sz w:val="18"/>
                <w:szCs w:val="18"/>
              </w:rPr>
              <w:t xml:space="preserve">Plazo de entrega, máx. 75 días (15%)</w:t>
            </w:r>
          </w:p>
        </w:tc>
        <w:tc>
          <w:tcPr>
            <w:tcW w:type="dxa" w:w="1450"/>
            <w:tcMar>
              <w:top w:type="dxa" w:w="60"/>
              <w:left w:type="dxa" w:w="100"/>
              <w:bottom w:type="dxa" w:w="60"/>
              <w:right w:type="dxa" w:w="100"/>
            </w:tcMar>
            <w:vAlign w:val="center"/>
          </w:tcPr>
          <w:p>
            <w:r>
              <w:rPr>
                <w:b w:val="false"/>
                <w:bCs w:val="false"/>
                <w:sz w:val="18"/>
                <w:szCs w:val="18"/>
              </w:rPr>
              <w:t xml:space="preserve">4</w:t>
            </w:r>
          </w:p>
        </w:tc>
        <w:tc>
          <w:tcPr>
            <w:tcW w:type="dxa" w:w="1450"/>
            <w:tcMar>
              <w:top w:type="dxa" w:w="60"/>
              <w:left w:type="dxa" w:w="100"/>
              <w:bottom w:type="dxa" w:w="60"/>
              <w:right w:type="dxa" w:w="100"/>
            </w:tcMar>
            <w:vAlign w:val="center"/>
          </w:tcPr>
          <w:p>
            <w:r>
              <w:rPr>
                <w:b w:val="false"/>
                <w:bCs w:val="false"/>
                <w:sz w:val="18"/>
                <w:szCs w:val="18"/>
              </w:rPr>
              <w:t xml:space="preserve">5</w:t>
            </w:r>
          </w:p>
        </w:tc>
        <w:tc>
          <w:tcPr>
            <w:tcW w:type="dxa" w:w="1450"/>
            <w:tcMar>
              <w:top w:type="dxa" w:w="60"/>
              <w:left w:type="dxa" w:w="100"/>
              <w:bottom w:type="dxa" w:w="60"/>
              <w:right w:type="dxa" w:w="100"/>
            </w:tcMar>
            <w:vAlign w:val="center"/>
          </w:tcPr>
          <w:p>
            <w:r>
              <w:rPr>
                <w:b w:val="false"/>
                <w:bCs w:val="false"/>
                <w:sz w:val="18"/>
                <w:szCs w:val="18"/>
              </w:rPr>
              <w:t xml:space="preserve">7</w:t>
            </w:r>
          </w:p>
        </w:tc>
      </w:tr>
      <w:tr>
        <w:tc>
          <w:tcPr>
            <w:tcW w:type="dxa" w:w="3400"/>
            <w:tcMar>
              <w:top w:type="dxa" w:w="60"/>
              <w:left w:type="dxa" w:w="100"/>
              <w:bottom w:type="dxa" w:w="60"/>
              <w:right w:type="dxa" w:w="100"/>
            </w:tcMar>
            <w:vAlign w:val="center"/>
          </w:tcPr>
          <w:p>
            <w:r>
              <w:rPr>
                <w:b w:val="false"/>
                <w:bCs w:val="false"/>
                <w:sz w:val="18"/>
                <w:szCs w:val="18"/>
              </w:rPr>
              <w:t xml:space="preserve">Condensadoras NH3 ≥250TR (4%)</w:t>
            </w:r>
          </w:p>
        </w:tc>
        <w:tc>
          <w:tcPr>
            <w:tcW w:type="dxa" w:w="1450"/>
            <w:tcMar>
              <w:top w:type="dxa" w:w="60"/>
              <w:left w:type="dxa" w:w="100"/>
              <w:bottom w:type="dxa" w:w="60"/>
              <w:right w:type="dxa" w:w="100"/>
            </w:tcMar>
            <w:vAlign w:val="center"/>
          </w:tcPr>
          <w:p>
            <w:r>
              <w:rPr>
                <w:b w:val="false"/>
                <w:bCs w:val="false"/>
                <w:sz w:val="18"/>
                <w:szCs w:val="18"/>
              </w:rPr>
              <w:t xml:space="preserve">4</w:t>
            </w:r>
          </w:p>
        </w:tc>
        <w:tc>
          <w:tcPr>
            <w:tcW w:type="dxa" w:w="1450"/>
            <w:tcMar>
              <w:top w:type="dxa" w:w="60"/>
              <w:left w:type="dxa" w:w="100"/>
              <w:bottom w:type="dxa" w:w="60"/>
              <w:right w:type="dxa" w:w="100"/>
            </w:tcMar>
            <w:vAlign w:val="center"/>
          </w:tcPr>
          <w:p>
            <w:r>
              <w:rPr>
                <w:b w:val="false"/>
                <w:bCs w:val="false"/>
                <w:sz w:val="18"/>
                <w:szCs w:val="18"/>
              </w:rPr>
              <w:t xml:space="preserve">6</w:t>
            </w:r>
          </w:p>
        </w:tc>
        <w:tc>
          <w:tcPr>
            <w:tcW w:type="dxa" w:w="1450"/>
            <w:tcMar>
              <w:top w:type="dxa" w:w="60"/>
              <w:left w:type="dxa" w:w="100"/>
              <w:bottom w:type="dxa" w:w="60"/>
              <w:right w:type="dxa" w:w="100"/>
            </w:tcMar>
            <w:vAlign w:val="center"/>
          </w:tcPr>
          <w:p>
            <w:r>
              <w:rPr>
                <w:b w:val="false"/>
                <w:bCs w:val="false"/>
                <w:sz w:val="18"/>
                <w:szCs w:val="18"/>
              </w:rPr>
              <w:t xml:space="preserve">7</w:t>
            </w:r>
          </w:p>
        </w:tc>
      </w:tr>
      <w:tr>
        <w:tc>
          <w:tcPr>
            <w:tcW w:type="dxa" w:w="3400"/>
            <w:tcMar>
              <w:top w:type="dxa" w:w="60"/>
              <w:left w:type="dxa" w:w="100"/>
              <w:bottom w:type="dxa" w:w="60"/>
              <w:right w:type="dxa" w:w="100"/>
            </w:tcMar>
            <w:vAlign w:val="center"/>
          </w:tcPr>
          <w:p>
            <w:r>
              <w:rPr>
                <w:b w:val="false"/>
                <w:bCs w:val="false"/>
                <w:sz w:val="18"/>
                <w:szCs w:val="18"/>
              </w:rPr>
              <w:t xml:space="preserve">Torres tiro inducido (3%)</w:t>
            </w:r>
          </w:p>
        </w:tc>
        <w:tc>
          <w:tcPr>
            <w:tcW w:type="dxa" w:w="1450"/>
            <w:tcMar>
              <w:top w:type="dxa" w:w="60"/>
              <w:left w:type="dxa" w:w="100"/>
              <w:bottom w:type="dxa" w:w="60"/>
              <w:right w:type="dxa" w:w="100"/>
            </w:tcMar>
            <w:vAlign w:val="center"/>
          </w:tcPr>
          <w:p>
            <w:r>
              <w:rPr>
                <w:b w:val="false"/>
                <w:bCs w:val="false"/>
                <w:sz w:val="18"/>
                <w:szCs w:val="18"/>
              </w:rPr>
              <w:t xml:space="preserve">4</w:t>
            </w:r>
          </w:p>
        </w:tc>
        <w:tc>
          <w:tcPr>
            <w:tcW w:type="dxa" w:w="1450"/>
            <w:tcMar>
              <w:top w:type="dxa" w:w="60"/>
              <w:left w:type="dxa" w:w="100"/>
              <w:bottom w:type="dxa" w:w="60"/>
              <w:right w:type="dxa" w:w="100"/>
            </w:tcMar>
            <w:vAlign w:val="center"/>
          </w:tcPr>
          <w:p>
            <w:r>
              <w:rPr>
                <w:b w:val="false"/>
                <w:bCs w:val="false"/>
                <w:sz w:val="18"/>
                <w:szCs w:val="18"/>
              </w:rPr>
              <w:t xml:space="preserve">4</w:t>
            </w:r>
          </w:p>
        </w:tc>
        <w:tc>
          <w:tcPr>
            <w:tcW w:type="dxa" w:w="1450"/>
            <w:tcMar>
              <w:top w:type="dxa" w:w="60"/>
              <w:left w:type="dxa" w:w="100"/>
              <w:bottom w:type="dxa" w:w="60"/>
              <w:right w:type="dxa" w:w="100"/>
            </w:tcMar>
            <w:vAlign w:val="center"/>
          </w:tcPr>
          <w:p>
            <w:r>
              <w:rPr>
                <w:b w:val="false"/>
                <w:bCs w:val="false"/>
                <w:sz w:val="18"/>
                <w:szCs w:val="18"/>
              </w:rPr>
              <w:t xml:space="preserve">7</w:t>
            </w:r>
          </w:p>
        </w:tc>
      </w:tr>
      <w:tr>
        <w:tc>
          <w:tcPr>
            <w:tcW w:type="dxa" w:w="3400"/>
            <w:tcMar>
              <w:top w:type="dxa" w:w="60"/>
              <w:left w:type="dxa" w:w="100"/>
              <w:bottom w:type="dxa" w:w="60"/>
              <w:right w:type="dxa" w:w="100"/>
            </w:tcMar>
            <w:vAlign w:val="center"/>
          </w:tcPr>
          <w:p>
            <w:r>
              <w:rPr>
                <w:b w:val="false"/>
                <w:bCs w:val="false"/>
                <w:sz w:val="18"/>
                <w:szCs w:val="18"/>
              </w:rPr>
              <w:t xml:space="preserve">Monitoreo remoto (3%)</w:t>
            </w:r>
          </w:p>
        </w:tc>
        <w:tc>
          <w:tcPr>
            <w:tcW w:type="dxa" w:w="1450"/>
            <w:tcMar>
              <w:top w:type="dxa" w:w="60"/>
              <w:left w:type="dxa" w:w="100"/>
              <w:bottom w:type="dxa" w:w="60"/>
              <w:right w:type="dxa" w:w="100"/>
            </w:tcMar>
            <w:vAlign w:val="center"/>
          </w:tcPr>
          <w:p>
            <w:r>
              <w:rPr>
                <w:b w:val="false"/>
                <w:bCs w:val="false"/>
                <w:sz w:val="18"/>
                <w:szCs w:val="18"/>
              </w:rPr>
              <w:t xml:space="preserve">4</w:t>
            </w:r>
          </w:p>
        </w:tc>
        <w:tc>
          <w:tcPr>
            <w:tcW w:type="dxa" w:w="1450"/>
            <w:tcMar>
              <w:top w:type="dxa" w:w="60"/>
              <w:left w:type="dxa" w:w="100"/>
              <w:bottom w:type="dxa" w:w="60"/>
              <w:right w:type="dxa" w:w="100"/>
            </w:tcMar>
            <w:vAlign w:val="center"/>
          </w:tcPr>
          <w:p>
            <w:r>
              <w:rPr>
                <w:b w:val="false"/>
                <w:bCs w:val="false"/>
                <w:sz w:val="18"/>
                <w:szCs w:val="18"/>
              </w:rPr>
              <w:t xml:space="preserve">6</w:t>
            </w:r>
          </w:p>
        </w:tc>
        <w:tc>
          <w:tcPr>
            <w:tcW w:type="dxa" w:w="1450"/>
            <w:tcMar>
              <w:top w:type="dxa" w:w="60"/>
              <w:left w:type="dxa" w:w="100"/>
              <w:bottom w:type="dxa" w:w="60"/>
              <w:right w:type="dxa" w:w="100"/>
            </w:tcMar>
            <w:vAlign w:val="center"/>
          </w:tcPr>
          <w:p>
            <w:r>
              <w:rPr>
                <w:b w:val="false"/>
                <w:bCs w:val="false"/>
                <w:sz w:val="18"/>
                <w:szCs w:val="18"/>
              </w:rPr>
              <w:t xml:space="preserve">7</w:t>
            </w:r>
          </w:p>
        </w:tc>
      </w:tr>
      <w:tr>
        <w:tc>
          <w:tcPr>
            <w:tcW w:type="dxa" w:w="3400"/>
            <w:tcMar>
              <w:top w:type="dxa" w:w="60"/>
              <w:left w:type="dxa" w:w="100"/>
              <w:bottom w:type="dxa" w:w="60"/>
              <w:right w:type="dxa" w:w="100"/>
            </w:tcMar>
            <w:vAlign w:val="center"/>
          </w:tcPr>
          <w:p>
            <w:r>
              <w:rPr>
                <w:b w:val="false"/>
                <w:bCs w:val="false"/>
                <w:sz w:val="18"/>
                <w:szCs w:val="18"/>
              </w:rPr>
              <w:t xml:space="preserve">Válvulas expansión (2%)</w:t>
            </w:r>
          </w:p>
        </w:tc>
        <w:tc>
          <w:tcPr>
            <w:tcW w:type="dxa" w:w="1450"/>
            <w:tcMar>
              <w:top w:type="dxa" w:w="60"/>
              <w:left w:type="dxa" w:w="100"/>
              <w:bottom w:type="dxa" w:w="60"/>
              <w:right w:type="dxa" w:w="100"/>
            </w:tcMar>
            <w:vAlign w:val="center"/>
          </w:tcPr>
          <w:p>
            <w:r>
              <w:rPr>
                <w:b w:val="false"/>
                <w:bCs w:val="false"/>
                <w:sz w:val="18"/>
                <w:szCs w:val="18"/>
              </w:rPr>
              <w:t xml:space="preserve">4</w:t>
            </w:r>
          </w:p>
        </w:tc>
        <w:tc>
          <w:tcPr>
            <w:tcW w:type="dxa" w:w="1450"/>
            <w:tcMar>
              <w:top w:type="dxa" w:w="60"/>
              <w:left w:type="dxa" w:w="100"/>
              <w:bottom w:type="dxa" w:w="60"/>
              <w:right w:type="dxa" w:w="100"/>
            </w:tcMar>
            <w:vAlign w:val="center"/>
          </w:tcPr>
          <w:p>
            <w:r>
              <w:rPr>
                <w:b w:val="false"/>
                <w:bCs w:val="false"/>
                <w:sz w:val="18"/>
                <w:szCs w:val="18"/>
              </w:rPr>
              <w:t xml:space="preserve">4</w:t>
            </w:r>
          </w:p>
        </w:tc>
        <w:tc>
          <w:tcPr>
            <w:tcW w:type="dxa" w:w="1450"/>
            <w:tcMar>
              <w:top w:type="dxa" w:w="60"/>
              <w:left w:type="dxa" w:w="100"/>
              <w:bottom w:type="dxa" w:w="60"/>
              <w:right w:type="dxa" w:w="100"/>
            </w:tcMar>
            <w:vAlign w:val="center"/>
          </w:tcPr>
          <w:p>
            <w:r>
              <w:rPr>
                <w:b w:val="false"/>
                <w:bCs w:val="false"/>
                <w:sz w:val="18"/>
                <w:szCs w:val="18"/>
              </w:rPr>
              <w:t xml:space="preserve">6</w:t>
            </w:r>
          </w:p>
        </w:tc>
      </w:tr>
      <w:tr>
        <w:tc>
          <w:tcPr>
            <w:tcW w:type="dxa" w:w="3400"/>
            <w:tcMar>
              <w:top w:type="dxa" w:w="60"/>
              <w:left w:type="dxa" w:w="100"/>
              <w:bottom w:type="dxa" w:w="60"/>
              <w:right w:type="dxa" w:w="100"/>
            </w:tcMar>
            <w:vAlign w:val="center"/>
          </w:tcPr>
          <w:p>
            <w:r>
              <w:rPr>
                <w:b w:val="false"/>
                <w:bCs w:val="false"/>
                <w:sz w:val="18"/>
                <w:szCs w:val="18"/>
              </w:rPr>
              <w:t xml:space="preserve">Mantención preventiva (3%)</w:t>
            </w:r>
          </w:p>
        </w:tc>
        <w:tc>
          <w:tcPr>
            <w:tcW w:type="dxa" w:w="1450"/>
            <w:tcMar>
              <w:top w:type="dxa" w:w="60"/>
              <w:left w:type="dxa" w:w="100"/>
              <w:bottom w:type="dxa" w:w="60"/>
              <w:right w:type="dxa" w:w="100"/>
            </w:tcMar>
            <w:vAlign w:val="center"/>
          </w:tcPr>
          <w:p>
            <w:r>
              <w:rPr>
                <w:b w:val="false"/>
                <w:bCs w:val="false"/>
                <w:sz w:val="18"/>
                <w:szCs w:val="18"/>
              </w:rPr>
              <w:t xml:space="preserve">4</w:t>
            </w:r>
          </w:p>
        </w:tc>
        <w:tc>
          <w:tcPr>
            <w:tcW w:type="dxa" w:w="1450"/>
            <w:tcMar>
              <w:top w:type="dxa" w:w="60"/>
              <w:left w:type="dxa" w:w="100"/>
              <w:bottom w:type="dxa" w:w="60"/>
              <w:right w:type="dxa" w:w="100"/>
            </w:tcMar>
            <w:vAlign w:val="center"/>
          </w:tcPr>
          <w:p>
            <w:r>
              <w:rPr>
                <w:b w:val="false"/>
                <w:bCs w:val="false"/>
                <w:sz w:val="18"/>
                <w:szCs w:val="18"/>
              </w:rPr>
              <w:t xml:space="preserve">5</w:t>
            </w:r>
          </w:p>
        </w:tc>
        <w:tc>
          <w:tcPr>
            <w:tcW w:type="dxa" w:w="1450"/>
            <w:tcMar>
              <w:top w:type="dxa" w:w="60"/>
              <w:left w:type="dxa" w:w="100"/>
              <w:bottom w:type="dxa" w:w="60"/>
              <w:right w:type="dxa" w:w="100"/>
            </w:tcMar>
            <w:vAlign w:val="center"/>
          </w:tcPr>
          <w:p>
            <w:r>
              <w:rPr>
                <w:b w:val="false"/>
                <w:bCs w:val="false"/>
                <w:sz w:val="18"/>
                <w:szCs w:val="18"/>
              </w:rPr>
              <w:t xml:space="preserve">7</w:t>
            </w:r>
          </w:p>
        </w:tc>
      </w:tr>
      <w:tr>
        <w:tc>
          <w:tcPr>
            <w:tcW w:type="dxa" w:w="3400"/>
            <w:tcMar>
              <w:top w:type="dxa" w:w="60"/>
              <w:left w:type="dxa" w:w="100"/>
              <w:bottom w:type="dxa" w:w="60"/>
              <w:right w:type="dxa" w:w="100"/>
            </w:tcMar>
            <w:vAlign w:val="center"/>
          </w:tcPr>
          <w:p>
            <w:r>
              <w:rPr>
                <w:b w:val="false"/>
                <w:bCs w:val="false"/>
                <w:sz w:val="18"/>
                <w:szCs w:val="18"/>
              </w:rPr>
              <w:t xml:space="preserve">Capacitación técnica (2%)</w:t>
            </w:r>
          </w:p>
        </w:tc>
        <w:tc>
          <w:tcPr>
            <w:tcW w:type="dxa" w:w="1450"/>
            <w:tcMar>
              <w:top w:type="dxa" w:w="60"/>
              <w:left w:type="dxa" w:w="100"/>
              <w:bottom w:type="dxa" w:w="60"/>
              <w:right w:type="dxa" w:w="100"/>
            </w:tcMar>
            <w:vAlign w:val="center"/>
          </w:tcPr>
          <w:p>
            <w:r>
              <w:rPr>
                <w:b w:val="false"/>
                <w:bCs w:val="false"/>
                <w:sz w:val="18"/>
                <w:szCs w:val="18"/>
              </w:rPr>
              <w:t xml:space="preserve">4</w:t>
            </w:r>
          </w:p>
        </w:tc>
        <w:tc>
          <w:tcPr>
            <w:tcW w:type="dxa" w:w="1450"/>
            <w:tcMar>
              <w:top w:type="dxa" w:w="60"/>
              <w:left w:type="dxa" w:w="100"/>
              <w:bottom w:type="dxa" w:w="60"/>
              <w:right w:type="dxa" w:w="100"/>
            </w:tcMar>
            <w:vAlign w:val="center"/>
          </w:tcPr>
          <w:p>
            <w:r>
              <w:rPr>
                <w:b w:val="false"/>
                <w:bCs w:val="false"/>
                <w:sz w:val="18"/>
                <w:szCs w:val="18"/>
              </w:rPr>
              <w:t xml:space="preserve">5</w:t>
            </w:r>
          </w:p>
        </w:tc>
        <w:tc>
          <w:tcPr>
            <w:tcW w:type="dxa" w:w="1450"/>
            <w:tcMar>
              <w:top w:type="dxa" w:w="60"/>
              <w:left w:type="dxa" w:w="100"/>
              <w:bottom w:type="dxa" w:w="60"/>
              <w:right w:type="dxa" w:w="100"/>
            </w:tcMar>
            <w:vAlign w:val="center"/>
          </w:tcPr>
          <w:p>
            <w:r>
              <w:rPr>
                <w:b w:val="false"/>
                <w:bCs w:val="false"/>
                <w:sz w:val="18"/>
                <w:szCs w:val="18"/>
              </w:rPr>
              <w:t xml:space="preserve">7</w:t>
            </w:r>
          </w:p>
        </w:tc>
      </w:tr>
      <w:tr>
        <w:tc>
          <w:tcPr>
            <w:tcW w:type="dxa" w:w="3400"/>
            <w:tcMar>
              <w:top w:type="dxa" w:w="60"/>
              <w:left w:type="dxa" w:w="100"/>
              <w:bottom w:type="dxa" w:w="60"/>
              <w:right w:type="dxa" w:w="100"/>
            </w:tcMar>
            <w:vAlign w:val="center"/>
          </w:tcPr>
          <w:p>
            <w:r>
              <w:rPr>
                <w:b w:val="false"/>
                <w:bCs w:val="false"/>
                <w:sz w:val="18"/>
                <w:szCs w:val="18"/>
              </w:rPr>
              <w:t xml:space="preserve">Normativa y garantía (3%)</w:t>
            </w:r>
          </w:p>
        </w:tc>
        <w:tc>
          <w:tcPr>
            <w:tcW w:type="dxa" w:w="1450"/>
            <w:tcMar>
              <w:top w:type="dxa" w:w="60"/>
              <w:left w:type="dxa" w:w="100"/>
              <w:bottom w:type="dxa" w:w="60"/>
              <w:right w:type="dxa" w:w="100"/>
            </w:tcMar>
            <w:vAlign w:val="center"/>
          </w:tcPr>
          <w:p>
            <w:r>
              <w:rPr>
                <w:b w:val="false"/>
                <w:bCs w:val="false"/>
                <w:sz w:val="18"/>
                <w:szCs w:val="18"/>
              </w:rPr>
              <w:t xml:space="preserve">4</w:t>
            </w:r>
          </w:p>
        </w:tc>
        <w:tc>
          <w:tcPr>
            <w:tcW w:type="dxa" w:w="1450"/>
            <w:tcMar>
              <w:top w:type="dxa" w:w="60"/>
              <w:left w:type="dxa" w:w="100"/>
              <w:bottom w:type="dxa" w:w="60"/>
              <w:right w:type="dxa" w:w="100"/>
            </w:tcMar>
            <w:vAlign w:val="center"/>
          </w:tcPr>
          <w:p>
            <w:r>
              <w:rPr>
                <w:b w:val="false"/>
                <w:bCs w:val="false"/>
                <w:sz w:val="18"/>
                <w:szCs w:val="18"/>
              </w:rPr>
              <w:t xml:space="preserve">6</w:t>
            </w:r>
          </w:p>
        </w:tc>
        <w:tc>
          <w:tcPr>
            <w:tcW w:type="dxa" w:w="1450"/>
            <w:tcMar>
              <w:top w:type="dxa" w:w="60"/>
              <w:left w:type="dxa" w:w="100"/>
              <w:bottom w:type="dxa" w:w="60"/>
              <w:right w:type="dxa" w:w="100"/>
            </w:tcMar>
            <w:vAlign w:val="center"/>
          </w:tcPr>
          <w:p>
            <w:r>
              <w:rPr>
                <w:b w:val="false"/>
                <w:bCs w:val="false"/>
                <w:sz w:val="18"/>
                <w:szCs w:val="18"/>
              </w:rPr>
              <w:t xml:space="preserve">7</w:t>
            </w:r>
          </w:p>
        </w:tc>
      </w:tr>
      <w:tr>
        <w:tc>
          <w:tcPr>
            <w:tcW w:type="dxa" w:w="3400"/>
            <w:shd w:fill="EFF3F1" w:val="clear"/>
            <w:tcMar>
              <w:top w:type="dxa" w:w="60"/>
              <w:left w:type="dxa" w:w="100"/>
              <w:bottom w:type="dxa" w:w="60"/>
              <w:right w:type="dxa" w:w="100"/>
            </w:tcMar>
            <w:vAlign w:val="center"/>
          </w:tcPr>
          <w:p>
            <w:r>
              <w:rPr>
                <w:b/>
                <w:bCs/>
                <w:sz w:val="18"/>
                <w:szCs w:val="18"/>
              </w:rPr>
              <w:t xml:space="preserve">Puntaje técnico total (60% — máx. 4,20)</w:t>
            </w:r>
          </w:p>
        </w:tc>
        <w:tc>
          <w:tcPr>
            <w:tcW w:type="dxa" w:w="1450"/>
            <w:shd w:fill="EFF3F1" w:val="clear"/>
            <w:tcMar>
              <w:top w:type="dxa" w:w="60"/>
              <w:left w:type="dxa" w:w="100"/>
              <w:bottom w:type="dxa" w:w="60"/>
              <w:right w:type="dxa" w:w="100"/>
            </w:tcMar>
            <w:vAlign w:val="center"/>
          </w:tcPr>
          <w:p>
            <w:r>
              <w:rPr>
                <w:b/>
                <w:bCs/>
                <w:sz w:val="18"/>
                <w:szCs w:val="18"/>
              </w:rPr>
              <w:t xml:space="preserve">2,32</w:t>
            </w:r>
          </w:p>
        </w:tc>
        <w:tc>
          <w:tcPr>
            <w:tcW w:type="dxa" w:w="1450"/>
            <w:shd w:fill="EFF3F1" w:val="clear"/>
            <w:tcMar>
              <w:top w:type="dxa" w:w="60"/>
              <w:left w:type="dxa" w:w="100"/>
              <w:bottom w:type="dxa" w:w="60"/>
              <w:right w:type="dxa" w:w="100"/>
            </w:tcMar>
            <w:vAlign w:val="center"/>
          </w:tcPr>
          <w:p>
            <w:r>
              <w:rPr>
                <w:b/>
                <w:bCs/>
                <w:sz w:val="18"/>
                <w:szCs w:val="18"/>
              </w:rPr>
              <w:t xml:space="preserve">3,25</w:t>
            </w:r>
          </w:p>
        </w:tc>
        <w:tc>
          <w:tcPr>
            <w:tcW w:type="dxa" w:w="1450"/>
            <w:shd w:fill="EFF3F1" w:val="clear"/>
            <w:tcMar>
              <w:top w:type="dxa" w:w="60"/>
              <w:left w:type="dxa" w:w="100"/>
              <w:bottom w:type="dxa" w:w="60"/>
              <w:right w:type="dxa" w:w="100"/>
            </w:tcMar>
            <w:vAlign w:val="center"/>
          </w:tcPr>
          <w:p>
            <w:r>
              <w:rPr>
                <w:b/>
                <w:bCs/>
                <w:sz w:val="18"/>
                <w:szCs w:val="18"/>
              </w:rPr>
              <w:t xml:space="preserve">4,11</w:t>
            </w:r>
          </w:p>
        </w:tc>
      </w:tr>
    </w:tbl>
    <w:p>
      <w:pPr>
        <w:pStyle w:val="Heading2"/>
        <w:spacing w:after="150" w:before="300"/>
      </w:pPr>
      <w:r>
        <w:t xml:space="preserve">2.2 Resumen comercial</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100"/>
      </w:tblGrid>
      <w:tr>
        <w:trPr>
          <w:tblHeader/>
        </w:trPr>
        <w:tc>
          <w:tcPr>
            <w:tcW w:type="dxa" w:w="2600"/>
            <w:shd w:fill="1F4E3D" w:val="clear"/>
            <w:tcMar>
              <w:top w:type="dxa" w:w="60"/>
              <w:left w:type="dxa" w:w="100"/>
              <w:bottom w:type="dxa" w:w="60"/>
              <w:right w:type="dxa" w:w="100"/>
            </w:tcMar>
            <w:vAlign w:val="center"/>
          </w:tcPr>
          <w:p>
            <w:r>
              <w:rPr>
                <w:b/>
                <w:bCs/>
                <w:color w:val="FFFFFF"/>
                <w:sz w:val="18"/>
                <w:szCs w:val="18"/>
              </w:rPr>
              <w:t xml:space="preserve"/>
            </w:r>
          </w:p>
        </w:tc>
        <w:tc>
          <w:tcPr>
            <w:tcW w:type="dxa" w:w="2000"/>
            <w:shd w:fill="1F4E3D" w:val="clear"/>
            <w:tcMar>
              <w:top w:type="dxa" w:w="60"/>
              <w:left w:type="dxa" w:w="100"/>
              <w:bottom w:type="dxa" w:w="60"/>
              <w:right w:type="dxa" w:w="100"/>
            </w:tcMar>
            <w:vAlign w:val="center"/>
          </w:tcPr>
          <w:p>
            <w:r>
              <w:rPr>
                <w:b/>
                <w:bCs/>
                <w:color w:val="FFFFFF"/>
                <w:sz w:val="18"/>
                <w:szCs w:val="18"/>
              </w:rPr>
              <w:t xml:space="preserve">A — Frío Andino</w:t>
            </w:r>
          </w:p>
        </w:tc>
        <w:tc>
          <w:tcPr>
            <w:tcW w:type="dxa" w:w="2000"/>
            <w:shd w:fill="1F4E3D" w:val="clear"/>
            <w:tcMar>
              <w:top w:type="dxa" w:w="60"/>
              <w:left w:type="dxa" w:w="100"/>
              <w:bottom w:type="dxa" w:w="60"/>
              <w:right w:type="dxa" w:w="100"/>
            </w:tcMar>
            <w:vAlign w:val="center"/>
          </w:tcPr>
          <w:p>
            <w:r>
              <w:rPr>
                <w:b/>
                <w:bCs/>
                <w:color w:val="FFFFFF"/>
                <w:sz w:val="18"/>
                <w:szCs w:val="18"/>
              </w:rPr>
              <w:t xml:space="preserve">B — RefriGlobal</w:t>
            </w:r>
          </w:p>
        </w:tc>
        <w:tc>
          <w:tcPr>
            <w:tcW w:type="dxa" w:w="2100"/>
            <w:shd w:fill="1F4E3D" w:val="clear"/>
            <w:tcMar>
              <w:top w:type="dxa" w:w="60"/>
              <w:left w:type="dxa" w:w="100"/>
              <w:bottom w:type="dxa" w:w="60"/>
              <w:right w:type="dxa" w:w="100"/>
            </w:tcMar>
            <w:vAlign w:val="center"/>
          </w:tcPr>
          <w:p>
            <w:r>
              <w:rPr>
                <w:b/>
                <w:bCs/>
                <w:color w:val="FFFFFF"/>
                <w:sz w:val="18"/>
                <w:szCs w:val="18"/>
              </w:rPr>
              <w:t xml:space="preserve">C — NH3 Technologies</w:t>
            </w:r>
          </w:p>
        </w:tc>
      </w:tr>
      <w:tr>
        <w:tc>
          <w:tcPr>
            <w:tcW w:type="dxa" w:w="2600"/>
            <w:tcMar>
              <w:top w:type="dxa" w:w="60"/>
              <w:left w:type="dxa" w:w="100"/>
              <w:bottom w:type="dxa" w:w="60"/>
              <w:right w:type="dxa" w:w="100"/>
            </w:tcMar>
            <w:vAlign w:val="center"/>
          </w:tcPr>
          <w:p>
            <w:r>
              <w:rPr>
                <w:b w:val="false"/>
                <w:bCs w:val="false"/>
                <w:sz w:val="18"/>
                <w:szCs w:val="18"/>
              </w:rPr>
              <w:t xml:space="preserve">Precio total (IVA incl.)</w:t>
            </w:r>
          </w:p>
        </w:tc>
        <w:tc>
          <w:tcPr>
            <w:tcW w:type="dxa" w:w="2000"/>
            <w:tcMar>
              <w:top w:type="dxa" w:w="60"/>
              <w:left w:type="dxa" w:w="100"/>
              <w:bottom w:type="dxa" w:w="60"/>
              <w:right w:type="dxa" w:w="100"/>
            </w:tcMar>
            <w:vAlign w:val="center"/>
          </w:tcPr>
          <w:p>
            <w:r>
              <w:rPr>
                <w:b w:val="false"/>
                <w:bCs w:val="false"/>
                <w:sz w:val="18"/>
                <w:szCs w:val="18"/>
              </w:rPr>
              <w:t xml:space="preserve">$179.800.000</w:t>
            </w:r>
          </w:p>
        </w:tc>
        <w:tc>
          <w:tcPr>
            <w:tcW w:type="dxa" w:w="2000"/>
            <w:tcMar>
              <w:top w:type="dxa" w:w="60"/>
              <w:left w:type="dxa" w:w="100"/>
              <w:bottom w:type="dxa" w:w="60"/>
              <w:right w:type="dxa" w:w="100"/>
            </w:tcMar>
            <w:vAlign w:val="center"/>
          </w:tcPr>
          <w:p>
            <w:r>
              <w:rPr>
                <w:b w:val="false"/>
                <w:bCs w:val="false"/>
                <w:sz w:val="18"/>
                <w:szCs w:val="18"/>
              </w:rPr>
              <w:t xml:space="preserve">$188.900.000</w:t>
            </w:r>
          </w:p>
        </w:tc>
        <w:tc>
          <w:tcPr>
            <w:tcW w:type="dxa" w:w="2100"/>
            <w:tcMar>
              <w:top w:type="dxa" w:w="60"/>
              <w:left w:type="dxa" w:w="100"/>
              <w:bottom w:type="dxa" w:w="60"/>
              <w:right w:type="dxa" w:w="100"/>
            </w:tcMar>
            <w:vAlign w:val="center"/>
          </w:tcPr>
          <w:p>
            <w:r>
              <w:rPr>
                <w:b w:val="false"/>
                <w:bCs w:val="false"/>
                <w:sz w:val="18"/>
                <w:szCs w:val="18"/>
              </w:rPr>
              <w:t xml:space="preserve">$197.200.000</w:t>
            </w:r>
          </w:p>
        </w:tc>
      </w:tr>
      <w:tr>
        <w:tc>
          <w:tcPr>
            <w:tcW w:type="dxa" w:w="2600"/>
            <w:tcMar>
              <w:top w:type="dxa" w:w="60"/>
              <w:left w:type="dxa" w:w="100"/>
              <w:bottom w:type="dxa" w:w="60"/>
              <w:right w:type="dxa" w:w="100"/>
            </w:tcMar>
            <w:vAlign w:val="center"/>
          </w:tcPr>
          <w:p>
            <w:r>
              <w:rPr>
                <w:b w:val="false"/>
                <w:bCs w:val="false"/>
                <w:color w:val="8A1F11"/>
                <w:sz w:val="18"/>
                <w:szCs w:val="18"/>
              </w:rPr>
              <w:t xml:space="preserve">Desv. vs. presupuesto ref.</w:t>
            </w:r>
          </w:p>
        </w:tc>
        <w:tc>
          <w:tcPr>
            <w:tcW w:type="dxa" w:w="2000"/>
            <w:tcMar>
              <w:top w:type="dxa" w:w="60"/>
              <w:left w:type="dxa" w:w="100"/>
              <w:bottom w:type="dxa" w:w="60"/>
              <w:right w:type="dxa" w:w="100"/>
            </w:tcMar>
            <w:vAlign w:val="center"/>
          </w:tcPr>
          <w:p>
            <w:r>
              <w:rPr>
                <w:b w:val="false"/>
                <w:bCs w:val="false"/>
                <w:color w:val="8A1F11"/>
                <w:sz w:val="18"/>
                <w:szCs w:val="18"/>
              </w:rPr>
              <w:t xml:space="preserve">-3,59%</w:t>
            </w:r>
          </w:p>
        </w:tc>
        <w:tc>
          <w:tcPr>
            <w:tcW w:type="dxa" w:w="2000"/>
            <w:tcMar>
              <w:top w:type="dxa" w:w="60"/>
              <w:left w:type="dxa" w:w="100"/>
              <w:bottom w:type="dxa" w:w="60"/>
              <w:right w:type="dxa" w:w="100"/>
            </w:tcMar>
            <w:vAlign w:val="center"/>
          </w:tcPr>
          <w:p>
            <w:r>
              <w:rPr>
                <w:b w:val="false"/>
                <w:bCs w:val="false"/>
                <w:color w:val="8A1F11"/>
                <w:sz w:val="18"/>
                <w:szCs w:val="18"/>
              </w:rPr>
              <w:t xml:space="preserve">+1,29%</w:t>
            </w:r>
          </w:p>
        </w:tc>
        <w:tc>
          <w:tcPr>
            <w:tcW w:type="dxa" w:w="2100"/>
            <w:tcMar>
              <w:top w:type="dxa" w:w="60"/>
              <w:left w:type="dxa" w:w="100"/>
              <w:bottom w:type="dxa" w:w="60"/>
              <w:right w:type="dxa" w:w="100"/>
            </w:tcMar>
            <w:vAlign w:val="center"/>
          </w:tcPr>
          <w:p>
            <w:r>
              <w:rPr>
                <w:b w:val="false"/>
                <w:bCs w:val="false"/>
                <w:color w:val="8A1F11"/>
                <w:sz w:val="18"/>
                <w:szCs w:val="18"/>
              </w:rPr>
              <w:t xml:space="preserve">+5,74%</w:t>
            </w:r>
          </w:p>
        </w:tc>
      </w:tr>
      <w:tr>
        <w:tc>
          <w:tcPr>
            <w:tcW w:type="dxa" w:w="2600"/>
            <w:shd w:fill="FBE8E6" w:val="clear"/>
            <w:tcMar>
              <w:top w:type="dxa" w:w="60"/>
              <w:left w:type="dxa" w:w="100"/>
              <w:bottom w:type="dxa" w:w="60"/>
              <w:right w:type="dxa" w:w="100"/>
            </w:tcMar>
            <w:vAlign w:val="center"/>
          </w:tcPr>
          <w:p>
            <w:r>
              <w:rPr>
                <w:b w:val="false"/>
                <w:bCs w:val="false"/>
                <w:sz w:val="18"/>
                <w:szCs w:val="18"/>
              </w:rPr>
              <w:t xml:space="preserve">Admisibilidad de precio</w:t>
            </w:r>
          </w:p>
        </w:tc>
        <w:tc>
          <w:tcPr>
            <w:tcW w:type="dxa" w:w="2000"/>
            <w:shd w:fill="FBE8E6" w:val="clear"/>
            <w:tcMar>
              <w:top w:type="dxa" w:w="60"/>
              <w:left w:type="dxa" w:w="100"/>
              <w:bottom w:type="dxa" w:w="60"/>
              <w:right w:type="dxa" w:w="100"/>
            </w:tcMar>
            <w:vAlign w:val="center"/>
          </w:tcPr>
          <w:p>
            <w:r>
              <w:rPr>
                <w:b w:val="false"/>
                <w:bCs w:val="false"/>
                <w:sz w:val="18"/>
                <w:szCs w:val="18"/>
              </w:rPr>
              <w:t xml:space="preserve">Admisible</w:t>
            </w:r>
          </w:p>
        </w:tc>
        <w:tc>
          <w:tcPr>
            <w:tcW w:type="dxa" w:w="2000"/>
            <w:shd w:fill="FBE8E6" w:val="clear"/>
            <w:tcMar>
              <w:top w:type="dxa" w:w="60"/>
              <w:left w:type="dxa" w:w="100"/>
              <w:bottom w:type="dxa" w:w="60"/>
              <w:right w:type="dxa" w:w="100"/>
            </w:tcMar>
            <w:vAlign w:val="center"/>
          </w:tcPr>
          <w:p>
            <w:r>
              <w:rPr>
                <w:b w:val="false"/>
                <w:bCs w:val="false"/>
                <w:sz w:val="18"/>
                <w:szCs w:val="18"/>
              </w:rPr>
              <w:t xml:space="preserve">Admisible</w:t>
            </w:r>
          </w:p>
        </w:tc>
        <w:tc>
          <w:tcPr>
            <w:tcW w:type="dxa" w:w="2100"/>
            <w:shd w:fill="FBE8E6" w:val="clear"/>
            <w:tcMar>
              <w:top w:type="dxa" w:w="60"/>
              <w:left w:type="dxa" w:w="100"/>
              <w:bottom w:type="dxa" w:w="60"/>
              <w:right w:type="dxa" w:w="100"/>
            </w:tcMar>
            <w:vAlign w:val="center"/>
          </w:tcPr>
          <w:p>
            <w:r>
              <w:rPr>
                <w:b w:val="false"/>
                <w:bCs w:val="false"/>
                <w:sz w:val="18"/>
                <w:szCs w:val="18"/>
              </w:rPr>
              <w:t xml:space="preserve">NO ADMISIBLE</w:t>
            </w:r>
          </w:p>
        </w:tc>
      </w:tr>
      <w:tr>
        <w:tc>
          <w:tcPr>
            <w:tcW w:type="dxa" w:w="2600"/>
            <w:tcMar>
              <w:top w:type="dxa" w:w="60"/>
              <w:left w:type="dxa" w:w="100"/>
              <w:bottom w:type="dxa" w:w="60"/>
              <w:right w:type="dxa" w:w="100"/>
            </w:tcMar>
            <w:vAlign w:val="center"/>
          </w:tcPr>
          <w:p>
            <w:r>
              <w:rPr>
                <w:b w:val="false"/>
                <w:bCs w:val="false"/>
                <w:sz w:val="18"/>
                <w:szCs w:val="18"/>
              </w:rPr>
              <w:t xml:space="preserve">Condiciones de pago</w:t>
            </w:r>
          </w:p>
        </w:tc>
        <w:tc>
          <w:tcPr>
            <w:tcW w:type="dxa" w:w="2000"/>
            <w:tcMar>
              <w:top w:type="dxa" w:w="60"/>
              <w:left w:type="dxa" w:w="100"/>
              <w:bottom w:type="dxa" w:w="60"/>
              <w:right w:type="dxa" w:w="100"/>
            </w:tcMar>
            <w:vAlign w:val="center"/>
          </w:tcPr>
          <w:p>
            <w:r>
              <w:rPr>
                <w:b w:val="false"/>
                <w:bCs w:val="false"/>
                <w:sz w:val="18"/>
                <w:szCs w:val="18"/>
              </w:rPr>
              <w:t xml:space="preserve">30/40/30 (línea base)</w:t>
            </w:r>
          </w:p>
        </w:tc>
        <w:tc>
          <w:tcPr>
            <w:tcW w:type="dxa" w:w="2000"/>
            <w:tcMar>
              <w:top w:type="dxa" w:w="60"/>
              <w:left w:type="dxa" w:w="100"/>
              <w:bottom w:type="dxa" w:w="60"/>
              <w:right w:type="dxa" w:w="100"/>
            </w:tcMar>
            <w:vAlign w:val="center"/>
          </w:tcPr>
          <w:p>
            <w:r>
              <w:rPr>
                <w:b w:val="false"/>
                <w:bCs w:val="false"/>
                <w:sz w:val="18"/>
                <w:szCs w:val="18"/>
              </w:rPr>
              <w:t xml:space="preserve">20/40/40 (favorable al Mandante)</w:t>
            </w:r>
          </w:p>
        </w:tc>
        <w:tc>
          <w:tcPr>
            <w:tcW w:type="dxa" w:w="2100"/>
            <w:tcMar>
              <w:top w:type="dxa" w:w="60"/>
              <w:left w:type="dxa" w:w="100"/>
              <w:bottom w:type="dxa" w:w="60"/>
              <w:right w:type="dxa" w:w="100"/>
            </w:tcMar>
            <w:vAlign w:val="center"/>
          </w:tcPr>
          <w:p>
            <w:r>
              <w:rPr>
                <w:b w:val="false"/>
                <w:bCs w:val="false"/>
                <w:sz w:val="18"/>
                <w:szCs w:val="18"/>
              </w:rPr>
              <w:t xml:space="preserve">30/40/30 + 2% dcto. pago anticipado</w:t>
            </w:r>
          </w:p>
        </w:tc>
      </w:tr>
      <w:tr>
        <w:tc>
          <w:tcPr>
            <w:tcW w:type="dxa" w:w="2600"/>
            <w:tcMar>
              <w:top w:type="dxa" w:w="60"/>
              <w:left w:type="dxa" w:w="100"/>
              <w:bottom w:type="dxa" w:w="60"/>
              <w:right w:type="dxa" w:w="100"/>
            </w:tcMar>
            <w:vAlign w:val="center"/>
          </w:tcPr>
          <w:p>
            <w:r>
              <w:rPr>
                <w:b w:val="false"/>
                <w:bCs w:val="false"/>
                <w:sz w:val="18"/>
                <w:szCs w:val="18"/>
              </w:rPr>
              <w:t xml:space="preserve">Plazo de entrega</w:t>
            </w:r>
          </w:p>
        </w:tc>
        <w:tc>
          <w:tcPr>
            <w:tcW w:type="dxa" w:w="2000"/>
            <w:tcMar>
              <w:top w:type="dxa" w:w="60"/>
              <w:left w:type="dxa" w:w="100"/>
              <w:bottom w:type="dxa" w:w="60"/>
              <w:right w:type="dxa" w:w="100"/>
            </w:tcMar>
            <w:vAlign w:val="center"/>
          </w:tcPr>
          <w:p>
            <w:r>
              <w:rPr>
                <w:b w:val="false"/>
                <w:bCs w:val="false"/>
                <w:sz w:val="18"/>
                <w:szCs w:val="18"/>
              </w:rPr>
              <w:t xml:space="preserve">75 días</w:t>
            </w:r>
          </w:p>
        </w:tc>
        <w:tc>
          <w:tcPr>
            <w:tcW w:type="dxa" w:w="2000"/>
            <w:tcMar>
              <w:top w:type="dxa" w:w="60"/>
              <w:left w:type="dxa" w:w="100"/>
              <w:bottom w:type="dxa" w:w="60"/>
              <w:right w:type="dxa" w:w="100"/>
            </w:tcMar>
            <w:vAlign w:val="center"/>
          </w:tcPr>
          <w:p>
            <w:r>
              <w:rPr>
                <w:b w:val="false"/>
                <w:bCs w:val="false"/>
                <w:sz w:val="18"/>
                <w:szCs w:val="18"/>
              </w:rPr>
              <w:t xml:space="preserve">70 días</w:t>
            </w:r>
          </w:p>
        </w:tc>
        <w:tc>
          <w:tcPr>
            <w:tcW w:type="dxa" w:w="2100"/>
            <w:tcMar>
              <w:top w:type="dxa" w:w="60"/>
              <w:left w:type="dxa" w:w="100"/>
              <w:bottom w:type="dxa" w:w="60"/>
              <w:right w:type="dxa" w:w="100"/>
            </w:tcMar>
            <w:vAlign w:val="center"/>
          </w:tcPr>
          <w:p>
            <w:r>
              <w:rPr>
                <w:b w:val="false"/>
                <w:bCs w:val="false"/>
                <w:sz w:val="18"/>
                <w:szCs w:val="18"/>
              </w:rPr>
              <w:t xml:space="preserve">60 días</w:t>
            </w:r>
          </w:p>
        </w:tc>
      </w:tr>
      <w:tr>
        <w:tc>
          <w:tcPr>
            <w:tcW w:type="dxa" w:w="2600"/>
            <w:tcMar>
              <w:top w:type="dxa" w:w="60"/>
              <w:left w:type="dxa" w:w="100"/>
              <w:bottom w:type="dxa" w:w="60"/>
              <w:right w:type="dxa" w:w="100"/>
            </w:tcMar>
            <w:vAlign w:val="center"/>
          </w:tcPr>
          <w:p>
            <w:r>
              <w:rPr>
                <w:b w:val="false"/>
                <w:bCs w:val="false"/>
                <w:sz w:val="18"/>
                <w:szCs w:val="18"/>
              </w:rPr>
              <w:t xml:space="preserve">Vigencia de la oferta</w:t>
            </w:r>
          </w:p>
        </w:tc>
        <w:tc>
          <w:tcPr>
            <w:tcW w:type="dxa" w:w="2000"/>
            <w:tcMar>
              <w:top w:type="dxa" w:w="60"/>
              <w:left w:type="dxa" w:w="100"/>
              <w:bottom w:type="dxa" w:w="60"/>
              <w:right w:type="dxa" w:w="100"/>
            </w:tcMar>
            <w:vAlign w:val="center"/>
          </w:tcPr>
          <w:p>
            <w:r>
              <w:rPr>
                <w:b w:val="false"/>
                <w:bCs w:val="false"/>
                <w:sz w:val="18"/>
                <w:szCs w:val="18"/>
              </w:rPr>
              <w:t xml:space="preserve">90 días</w:t>
            </w:r>
          </w:p>
        </w:tc>
        <w:tc>
          <w:tcPr>
            <w:tcW w:type="dxa" w:w="2000"/>
            <w:tcMar>
              <w:top w:type="dxa" w:w="60"/>
              <w:left w:type="dxa" w:w="100"/>
              <w:bottom w:type="dxa" w:w="60"/>
              <w:right w:type="dxa" w:w="100"/>
            </w:tcMar>
            <w:vAlign w:val="center"/>
          </w:tcPr>
          <w:p>
            <w:r>
              <w:rPr>
                <w:b w:val="false"/>
                <w:bCs w:val="false"/>
                <w:sz w:val="18"/>
                <w:szCs w:val="18"/>
              </w:rPr>
              <w:t xml:space="preserve">100 días</w:t>
            </w:r>
          </w:p>
        </w:tc>
        <w:tc>
          <w:tcPr>
            <w:tcW w:type="dxa" w:w="2100"/>
            <w:tcMar>
              <w:top w:type="dxa" w:w="60"/>
              <w:left w:type="dxa" w:w="100"/>
              <w:bottom w:type="dxa" w:w="60"/>
              <w:right w:type="dxa" w:w="100"/>
            </w:tcMar>
            <w:vAlign w:val="center"/>
          </w:tcPr>
          <w:p>
            <w:r>
              <w:rPr>
                <w:b w:val="false"/>
                <w:bCs w:val="false"/>
                <w:sz w:val="18"/>
                <w:szCs w:val="18"/>
              </w:rPr>
              <w:t xml:space="preserve">120 días</w:t>
            </w:r>
          </w:p>
        </w:tc>
      </w:tr>
      <w:tr>
        <w:tc>
          <w:tcPr>
            <w:tcW w:type="dxa" w:w="2600"/>
            <w:tcMar>
              <w:top w:type="dxa" w:w="60"/>
              <w:left w:type="dxa" w:w="100"/>
              <w:bottom w:type="dxa" w:w="60"/>
              <w:right w:type="dxa" w:w="100"/>
            </w:tcMar>
            <w:vAlign w:val="center"/>
          </w:tcPr>
          <w:p>
            <w:r>
              <w:rPr>
                <w:b w:val="false"/>
                <w:bCs w:val="false"/>
                <w:sz w:val="18"/>
                <w:szCs w:val="18"/>
              </w:rPr>
              <w:t xml:space="preserve">Garantía de fabricante</w:t>
            </w:r>
          </w:p>
        </w:tc>
        <w:tc>
          <w:tcPr>
            <w:tcW w:type="dxa" w:w="2000"/>
            <w:tcMar>
              <w:top w:type="dxa" w:w="60"/>
              <w:left w:type="dxa" w:w="100"/>
              <w:bottom w:type="dxa" w:w="60"/>
              <w:right w:type="dxa" w:w="100"/>
            </w:tcMar>
            <w:vAlign w:val="center"/>
          </w:tcPr>
          <w:p>
            <w:r>
              <w:rPr>
                <w:b w:val="false"/>
                <w:bCs w:val="false"/>
                <w:sz w:val="18"/>
                <w:szCs w:val="18"/>
              </w:rPr>
              <w:t xml:space="preserve">24 meses</w:t>
            </w:r>
          </w:p>
        </w:tc>
        <w:tc>
          <w:tcPr>
            <w:tcW w:type="dxa" w:w="2000"/>
            <w:tcMar>
              <w:top w:type="dxa" w:w="60"/>
              <w:left w:type="dxa" w:w="100"/>
              <w:bottom w:type="dxa" w:w="60"/>
              <w:right w:type="dxa" w:w="100"/>
            </w:tcMar>
            <w:vAlign w:val="center"/>
          </w:tcPr>
          <w:p>
            <w:r>
              <w:rPr>
                <w:b w:val="false"/>
                <w:bCs w:val="false"/>
                <w:sz w:val="18"/>
                <w:szCs w:val="18"/>
              </w:rPr>
              <w:t xml:space="preserve">30 meses</w:t>
            </w:r>
          </w:p>
        </w:tc>
        <w:tc>
          <w:tcPr>
            <w:tcW w:type="dxa" w:w="2100"/>
            <w:tcMar>
              <w:top w:type="dxa" w:w="60"/>
              <w:left w:type="dxa" w:w="100"/>
              <w:bottom w:type="dxa" w:w="60"/>
              <w:right w:type="dxa" w:w="100"/>
            </w:tcMar>
            <w:vAlign w:val="center"/>
          </w:tcPr>
          <w:p>
            <w:r>
              <w:rPr>
                <w:b w:val="false"/>
                <w:bCs w:val="false"/>
                <w:sz w:val="18"/>
                <w:szCs w:val="18"/>
              </w:rPr>
              <w:t xml:space="preserve">36 meses</w:t>
            </w:r>
          </w:p>
        </w:tc>
      </w:tr>
      <w:tr>
        <w:tc>
          <w:tcPr>
            <w:tcW w:type="dxa" w:w="2600"/>
            <w:tcMar>
              <w:top w:type="dxa" w:w="60"/>
              <w:left w:type="dxa" w:w="100"/>
              <w:bottom w:type="dxa" w:w="60"/>
              <w:right w:type="dxa" w:w="100"/>
            </w:tcMar>
            <w:vAlign w:val="center"/>
          </w:tcPr>
          <w:p>
            <w:r>
              <w:rPr>
                <w:b w:val="false"/>
                <w:bCs w:val="false"/>
                <w:sz w:val="18"/>
                <w:szCs w:val="18"/>
              </w:rPr>
              <w:t xml:space="preserve">Boleta garantía fiel cumpl.</w:t>
            </w:r>
          </w:p>
        </w:tc>
        <w:tc>
          <w:tcPr>
            <w:tcW w:type="dxa" w:w="2000"/>
            <w:tcMar>
              <w:top w:type="dxa" w:w="60"/>
              <w:left w:type="dxa" w:w="100"/>
              <w:bottom w:type="dxa" w:w="60"/>
              <w:right w:type="dxa" w:w="100"/>
            </w:tcMar>
            <w:vAlign w:val="center"/>
          </w:tcPr>
          <w:p>
            <w:r>
              <w:rPr>
                <w:b w:val="false"/>
                <w:bCs w:val="false"/>
                <w:sz w:val="18"/>
                <w:szCs w:val="18"/>
              </w:rPr>
              <w:t xml:space="preserve">10% / 60 días</w:t>
            </w:r>
          </w:p>
        </w:tc>
        <w:tc>
          <w:tcPr>
            <w:tcW w:type="dxa" w:w="2000"/>
            <w:tcMar>
              <w:top w:type="dxa" w:w="60"/>
              <w:left w:type="dxa" w:w="100"/>
              <w:bottom w:type="dxa" w:w="60"/>
              <w:right w:type="dxa" w:w="100"/>
            </w:tcMar>
            <w:vAlign w:val="center"/>
          </w:tcPr>
          <w:p>
            <w:r>
              <w:rPr>
                <w:b w:val="false"/>
                <w:bCs w:val="false"/>
                <w:sz w:val="18"/>
                <w:szCs w:val="18"/>
              </w:rPr>
              <w:t xml:space="preserve">10% / 90 días</w:t>
            </w:r>
          </w:p>
        </w:tc>
        <w:tc>
          <w:tcPr>
            <w:tcW w:type="dxa" w:w="2100"/>
            <w:tcMar>
              <w:top w:type="dxa" w:w="60"/>
              <w:left w:type="dxa" w:w="100"/>
              <w:bottom w:type="dxa" w:w="60"/>
              <w:right w:type="dxa" w:w="100"/>
            </w:tcMar>
            <w:vAlign w:val="center"/>
          </w:tcPr>
          <w:p>
            <w:r>
              <w:rPr>
                <w:b w:val="false"/>
                <w:bCs w:val="false"/>
                <w:sz w:val="18"/>
                <w:szCs w:val="18"/>
              </w:rPr>
              <w:t xml:space="preserve">12% / vigencia no informada</w:t>
            </w:r>
          </w:p>
        </w:tc>
      </w:tr>
      <w:tr>
        <w:tc>
          <w:tcPr>
            <w:tcW w:type="dxa" w:w="2600"/>
            <w:shd w:fill="EFF3F1" w:val="clear"/>
            <w:tcMar>
              <w:top w:type="dxa" w:w="60"/>
              <w:left w:type="dxa" w:w="100"/>
              <w:bottom w:type="dxa" w:w="60"/>
              <w:right w:type="dxa" w:w="100"/>
            </w:tcMar>
            <w:vAlign w:val="center"/>
          </w:tcPr>
          <w:p>
            <w:r>
              <w:rPr>
                <w:b/>
                <w:bCs/>
                <w:sz w:val="18"/>
                <w:szCs w:val="18"/>
              </w:rPr>
              <w:t xml:space="preserve">Puntaje comercial (40% — máx. 2,80)</w:t>
            </w:r>
          </w:p>
        </w:tc>
        <w:tc>
          <w:tcPr>
            <w:tcW w:type="dxa" w:w="2000"/>
            <w:shd w:fill="EFF3F1" w:val="clear"/>
            <w:tcMar>
              <w:top w:type="dxa" w:w="60"/>
              <w:left w:type="dxa" w:w="100"/>
              <w:bottom w:type="dxa" w:w="60"/>
              <w:right w:type="dxa" w:w="100"/>
            </w:tcMar>
            <w:vAlign w:val="center"/>
          </w:tcPr>
          <w:p>
            <w:r>
              <w:rPr>
                <w:b/>
                <w:bCs/>
                <w:sz w:val="18"/>
                <w:szCs w:val="18"/>
              </w:rPr>
              <w:t xml:space="preserve">2,80</w:t>
            </w:r>
          </w:p>
        </w:tc>
        <w:tc>
          <w:tcPr>
            <w:tcW w:type="dxa" w:w="2000"/>
            <w:shd w:fill="EFF3F1" w:val="clear"/>
            <w:tcMar>
              <w:top w:type="dxa" w:w="60"/>
              <w:left w:type="dxa" w:w="100"/>
              <w:bottom w:type="dxa" w:w="60"/>
              <w:right w:type="dxa" w:w="100"/>
            </w:tcMar>
            <w:vAlign w:val="center"/>
          </w:tcPr>
          <w:p>
            <w:r>
              <w:rPr>
                <w:b/>
                <w:bCs/>
                <w:sz w:val="18"/>
                <w:szCs w:val="18"/>
              </w:rPr>
              <w:t xml:space="preserve">2,6651</w:t>
            </w:r>
          </w:p>
        </w:tc>
        <w:tc>
          <w:tcPr>
            <w:tcW w:type="dxa" w:w="2100"/>
            <w:shd w:fill="EFF3F1" w:val="clear"/>
            <w:tcMar>
              <w:top w:type="dxa" w:w="60"/>
              <w:left w:type="dxa" w:w="100"/>
              <w:bottom w:type="dxa" w:w="60"/>
              <w:right w:type="dxa" w:w="100"/>
            </w:tcMar>
            <w:vAlign w:val="center"/>
          </w:tcPr>
          <w:p>
            <w:r>
              <w:rPr>
                <w:b/>
                <w:bCs/>
                <w:sz w:val="18"/>
                <w:szCs w:val="18"/>
              </w:rPr>
              <w:t xml:space="preserve">2,5529 (referencial)</w:t>
            </w:r>
          </w:p>
        </w:tc>
      </w:tr>
    </w:tbl>
    <w:p>
      <w:pPr>
        <w:pStyle w:val="Heading2"/>
        <w:spacing w:after="150" w:before="300"/>
      </w:pPr>
      <w:r>
        <w:t xml:space="preserve">2.3 Puntaje final ponderado</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100"/>
      </w:tblGrid>
      <w:tr>
        <w:trPr>
          <w:tblHeader/>
        </w:trPr>
        <w:tc>
          <w:tcPr>
            <w:tcW w:type="dxa" w:w="2600"/>
            <w:shd w:fill="1F4E3D" w:val="clear"/>
            <w:tcMar>
              <w:top w:type="dxa" w:w="60"/>
              <w:left w:type="dxa" w:w="100"/>
              <w:bottom w:type="dxa" w:w="60"/>
              <w:right w:type="dxa" w:w="100"/>
            </w:tcMar>
            <w:vAlign w:val="center"/>
          </w:tcPr>
          <w:p>
            <w:r>
              <w:rPr>
                <w:b/>
                <w:bCs/>
                <w:color w:val="FFFFFF"/>
                <w:sz w:val="18"/>
                <w:szCs w:val="18"/>
              </w:rPr>
              <w:t xml:space="preserve"/>
            </w:r>
          </w:p>
        </w:tc>
        <w:tc>
          <w:tcPr>
            <w:tcW w:type="dxa" w:w="2000"/>
            <w:shd w:fill="1F4E3D" w:val="clear"/>
            <w:tcMar>
              <w:top w:type="dxa" w:w="60"/>
              <w:left w:type="dxa" w:w="100"/>
              <w:bottom w:type="dxa" w:w="60"/>
              <w:right w:type="dxa" w:w="100"/>
            </w:tcMar>
            <w:vAlign w:val="center"/>
          </w:tcPr>
          <w:p>
            <w:r>
              <w:rPr>
                <w:b/>
                <w:bCs/>
                <w:color w:val="FFFFFF"/>
                <w:sz w:val="18"/>
                <w:szCs w:val="18"/>
              </w:rPr>
              <w:t xml:space="preserve">A — Frío Andino</w:t>
            </w:r>
          </w:p>
        </w:tc>
        <w:tc>
          <w:tcPr>
            <w:tcW w:type="dxa" w:w="2000"/>
            <w:shd w:fill="1F4E3D" w:val="clear"/>
            <w:tcMar>
              <w:top w:type="dxa" w:w="60"/>
              <w:left w:type="dxa" w:w="100"/>
              <w:bottom w:type="dxa" w:w="60"/>
              <w:right w:type="dxa" w:w="100"/>
            </w:tcMar>
            <w:vAlign w:val="center"/>
          </w:tcPr>
          <w:p>
            <w:r>
              <w:rPr>
                <w:b/>
                <w:bCs/>
                <w:color w:val="FFFFFF"/>
                <w:sz w:val="18"/>
                <w:szCs w:val="18"/>
              </w:rPr>
              <w:t xml:space="preserve">B — RefriGlobal</w:t>
            </w:r>
          </w:p>
        </w:tc>
        <w:tc>
          <w:tcPr>
            <w:tcW w:type="dxa" w:w="2100"/>
            <w:shd w:fill="1F4E3D" w:val="clear"/>
            <w:tcMar>
              <w:top w:type="dxa" w:w="60"/>
              <w:left w:type="dxa" w:w="100"/>
              <w:bottom w:type="dxa" w:w="60"/>
              <w:right w:type="dxa" w:w="100"/>
            </w:tcMar>
            <w:vAlign w:val="center"/>
          </w:tcPr>
          <w:p>
            <w:r>
              <w:rPr>
                <w:b/>
                <w:bCs/>
                <w:color w:val="FFFFFF"/>
                <w:sz w:val="18"/>
                <w:szCs w:val="18"/>
              </w:rPr>
              <w:t xml:space="preserve">C — NH3 Technologies</w:t>
            </w:r>
          </w:p>
        </w:tc>
      </w:tr>
      <w:tr>
        <w:tc>
          <w:tcPr>
            <w:tcW w:type="dxa" w:w="2600"/>
            <w:tcMar>
              <w:top w:type="dxa" w:w="60"/>
              <w:left w:type="dxa" w:w="100"/>
              <w:bottom w:type="dxa" w:w="60"/>
              <w:right w:type="dxa" w:w="100"/>
            </w:tcMar>
            <w:vAlign w:val="center"/>
          </w:tcPr>
          <w:p>
            <w:r>
              <w:rPr>
                <w:b/>
                <w:bCs/>
                <w:sz w:val="18"/>
                <w:szCs w:val="18"/>
              </w:rPr>
              <w:t xml:space="preserve">Puntaje total (máx. 7,00)</w:t>
            </w:r>
          </w:p>
        </w:tc>
        <w:tc>
          <w:tcPr>
            <w:tcW w:type="dxa" w:w="2000"/>
            <w:tcMar>
              <w:top w:type="dxa" w:w="60"/>
              <w:left w:type="dxa" w:w="100"/>
              <w:bottom w:type="dxa" w:w="60"/>
              <w:right w:type="dxa" w:w="100"/>
            </w:tcMar>
            <w:vAlign w:val="center"/>
          </w:tcPr>
          <w:p>
            <w:r>
              <w:rPr>
                <w:b/>
                <w:bCs/>
                <w:sz w:val="18"/>
                <w:szCs w:val="18"/>
              </w:rPr>
              <w:t xml:space="preserve">5,12</w:t>
            </w:r>
          </w:p>
        </w:tc>
        <w:tc>
          <w:tcPr>
            <w:tcW w:type="dxa" w:w="2000"/>
            <w:tcMar>
              <w:top w:type="dxa" w:w="60"/>
              <w:left w:type="dxa" w:w="100"/>
              <w:bottom w:type="dxa" w:w="60"/>
              <w:right w:type="dxa" w:w="100"/>
            </w:tcMar>
            <w:vAlign w:val="center"/>
          </w:tcPr>
          <w:p>
            <w:r>
              <w:rPr>
                <w:b/>
                <w:bCs/>
                <w:sz w:val="18"/>
                <w:szCs w:val="18"/>
              </w:rPr>
              <w:t xml:space="preserve">5,9151</w:t>
            </w:r>
          </w:p>
        </w:tc>
        <w:tc>
          <w:tcPr>
            <w:tcW w:type="dxa" w:w="2100"/>
            <w:tcMar>
              <w:top w:type="dxa" w:w="60"/>
              <w:left w:type="dxa" w:w="100"/>
              <w:bottom w:type="dxa" w:w="60"/>
              <w:right w:type="dxa" w:w="100"/>
            </w:tcMar>
            <w:vAlign w:val="center"/>
          </w:tcPr>
          <w:p>
            <w:r>
              <w:rPr>
                <w:b/>
                <w:bCs/>
                <w:sz w:val="18"/>
                <w:szCs w:val="18"/>
              </w:rPr>
              <w:t xml:space="preserve">6,66 (referencial)</w:t>
            </w:r>
          </w:p>
        </w:tc>
      </w:tr>
      <w:tr>
        <w:tc>
          <w:tcPr>
            <w:tcW w:type="dxa" w:w="2600"/>
            <w:tcMar>
              <w:top w:type="dxa" w:w="60"/>
              <w:left w:type="dxa" w:w="100"/>
              <w:bottom w:type="dxa" w:w="60"/>
              <w:right w:type="dxa" w:w="100"/>
            </w:tcMar>
            <w:vAlign w:val="center"/>
          </w:tcPr>
          <w:p>
            <w:r>
              <w:rPr>
                <w:b w:val="false"/>
                <w:bCs w:val="false"/>
                <w:sz w:val="18"/>
                <w:szCs w:val="18"/>
              </w:rPr>
              <w:t xml:space="preserve">% del máximo</w:t>
            </w:r>
          </w:p>
        </w:tc>
        <w:tc>
          <w:tcPr>
            <w:tcW w:type="dxa" w:w="2000"/>
            <w:tcMar>
              <w:top w:type="dxa" w:w="60"/>
              <w:left w:type="dxa" w:w="100"/>
              <w:bottom w:type="dxa" w:w="60"/>
              <w:right w:type="dxa" w:w="100"/>
            </w:tcMar>
            <w:vAlign w:val="center"/>
          </w:tcPr>
          <w:p>
            <w:r>
              <w:rPr>
                <w:b w:val="false"/>
                <w:bCs w:val="false"/>
                <w:sz w:val="18"/>
                <w:szCs w:val="18"/>
              </w:rPr>
              <w:t xml:space="preserve">73,1%</w:t>
            </w:r>
          </w:p>
        </w:tc>
        <w:tc>
          <w:tcPr>
            <w:tcW w:type="dxa" w:w="2000"/>
            <w:tcMar>
              <w:top w:type="dxa" w:w="60"/>
              <w:left w:type="dxa" w:w="100"/>
              <w:bottom w:type="dxa" w:w="60"/>
              <w:right w:type="dxa" w:w="100"/>
            </w:tcMar>
            <w:vAlign w:val="center"/>
          </w:tcPr>
          <w:p>
            <w:r>
              <w:rPr>
                <w:b w:val="false"/>
                <w:bCs w:val="false"/>
                <w:sz w:val="18"/>
                <w:szCs w:val="18"/>
              </w:rPr>
              <w:t xml:space="preserve">84,5%</w:t>
            </w:r>
          </w:p>
        </w:tc>
        <w:tc>
          <w:tcPr>
            <w:tcW w:type="dxa" w:w="2100"/>
            <w:tcMar>
              <w:top w:type="dxa" w:w="60"/>
              <w:left w:type="dxa" w:w="100"/>
              <w:bottom w:type="dxa" w:w="60"/>
              <w:right w:type="dxa" w:w="100"/>
            </w:tcMar>
            <w:vAlign w:val="center"/>
          </w:tcPr>
          <w:p>
            <w:r>
              <w:rPr>
                <w:b w:val="false"/>
                <w:bCs w:val="false"/>
                <w:sz w:val="18"/>
                <w:szCs w:val="18"/>
              </w:rPr>
              <w:t xml:space="preserve">95,2%</w:t>
            </w:r>
          </w:p>
        </w:tc>
      </w:tr>
      <w:tr>
        <w:tc>
          <w:tcPr>
            <w:tcW w:type="dxa" w:w="2600"/>
            <w:shd w:fill="EFF3F1" w:val="clear"/>
            <w:tcMar>
              <w:top w:type="dxa" w:w="60"/>
              <w:left w:type="dxa" w:w="100"/>
              <w:bottom w:type="dxa" w:w="60"/>
              <w:right w:type="dxa" w:w="100"/>
            </w:tcMar>
            <w:vAlign w:val="center"/>
          </w:tcPr>
          <w:p>
            <w:r>
              <w:rPr>
                <w:b/>
                <w:bCs/>
                <w:sz w:val="18"/>
                <w:szCs w:val="18"/>
              </w:rPr>
              <w:t xml:space="preserve">Posición</w:t>
            </w:r>
          </w:p>
        </w:tc>
        <w:tc>
          <w:tcPr>
            <w:tcW w:type="dxa" w:w="2000"/>
            <w:shd w:fill="EFF3F1" w:val="clear"/>
            <w:tcMar>
              <w:top w:type="dxa" w:w="60"/>
              <w:left w:type="dxa" w:w="100"/>
              <w:bottom w:type="dxa" w:w="60"/>
              <w:right w:type="dxa" w:w="100"/>
            </w:tcMar>
            <w:vAlign w:val="center"/>
          </w:tcPr>
          <w:p>
            <w:r>
              <w:rPr>
                <w:b/>
                <w:bCs/>
                <w:sz w:val="18"/>
                <w:szCs w:val="18"/>
              </w:rPr>
              <w:t xml:space="preserve">2°</w:t>
            </w:r>
          </w:p>
        </w:tc>
        <w:tc>
          <w:tcPr>
            <w:tcW w:type="dxa" w:w="2000"/>
            <w:shd w:fill="EFF3F1" w:val="clear"/>
            <w:tcMar>
              <w:top w:type="dxa" w:w="60"/>
              <w:left w:type="dxa" w:w="100"/>
              <w:bottom w:type="dxa" w:w="60"/>
              <w:right w:type="dxa" w:w="100"/>
            </w:tcMar>
            <w:vAlign w:val="center"/>
          </w:tcPr>
          <w:p>
            <w:r>
              <w:rPr>
                <w:b/>
                <w:bCs/>
                <w:sz w:val="18"/>
                <w:szCs w:val="18"/>
              </w:rPr>
              <w:t xml:space="preserve">1°</w:t>
            </w:r>
          </w:p>
        </w:tc>
        <w:tc>
          <w:tcPr>
            <w:tcW w:type="dxa" w:w="2100"/>
            <w:shd w:fill="EFF3F1" w:val="clear"/>
            <w:tcMar>
              <w:top w:type="dxa" w:w="60"/>
              <w:left w:type="dxa" w:w="100"/>
              <w:bottom w:type="dxa" w:w="60"/>
              <w:right w:type="dxa" w:w="100"/>
            </w:tcMar>
            <w:vAlign w:val="center"/>
          </w:tcPr>
          <w:p>
            <w:r>
              <w:rPr>
                <w:b/>
                <w:bCs/>
                <w:sz w:val="18"/>
                <w:szCs w:val="18"/>
              </w:rPr>
              <w:t xml:space="preserve">No admisible</w:t>
            </w:r>
          </w:p>
        </w:tc>
      </w:tr>
    </w:tbl>
    <w:p>
      <w:r>
        <w:br w:type="page"/>
      </w:r>
    </w:p>
    <w:p>
      <w:pPr>
        <w:pStyle w:val="Heading1"/>
        <w:spacing w:after="150" w:before="300"/>
      </w:pPr>
      <w:r>
        <w:t xml:space="preserve">3. Análisis Detallado por Proveedor</w:t>
      </w:r>
    </w:p>
    <w:p>
      <w:pPr>
        <w:pStyle w:val="Heading2"/>
        <w:spacing w:after="150" w:before="300"/>
      </w:pPr>
      <w:r>
        <w:t xml:space="preserve">3.1 Frío Industrial Andino Ltda. (Oferente A)</w:t>
      </w:r>
    </w:p>
    <w:p>
      <w:pPr>
        <w:spacing w:after="120"/>
      </w:pPr>
      <w:r>
        <w:rPr>
          <w:b/>
          <w:bCs/>
          <w:i w:val="false"/>
          <w:iCs w:val="false"/>
        </w:rPr>
        <w:t xml:space="preserve">Puntaje técnico 2,32/4,20 · Puntaje comercial 2,80/2,80 · Puntaje final 5,12/7,00 (2° lugar, admisible)</w:t>
      </w:r>
    </w:p>
    <w:p>
      <w:pPr>
        <w:spacing w:after="120"/>
      </w:pPr>
      <w:r>
        <w:rPr>
          <w:b/>
          <w:bCs/>
          <w:i w:val="false"/>
          <w:iCs w:val="false"/>
        </w:rPr>
        <w:t xml:space="preserve">Fortalezas</w:t>
      </w:r>
    </w:p>
    <w:p>
      <w:pPr>
        <w:pStyle w:val="ListParagraph"/>
        <w:numPr>
          <w:ilvl w:val="0"/>
          <w:numId w:val="1"/>
        </w:numPr>
        <w:spacing w:after="80"/>
      </w:pPr>
      <w:r>
        <w:rPr>
          <w:b w:val="false"/>
          <w:bCs w:val="false"/>
        </w:rPr>
        <w:t xml:space="preserve">Precio más bajo del proceso ($179.800.000; -3,59% bajo el presupuesto referencial), lo que le otorga la nota de precio máxima (7,00).</w:t>
      </w:r>
    </w:p>
    <w:p>
      <w:pPr>
        <w:pStyle w:val="ListParagraph"/>
        <w:numPr>
          <w:ilvl w:val="0"/>
          <w:numId w:val="1"/>
        </w:numPr>
        <w:spacing w:after="80"/>
      </w:pPr>
      <w:r>
        <w:rPr>
          <w:b w:val="false"/>
          <w:bCs w:val="false"/>
        </w:rPr>
        <w:t xml:space="preserve">Cumple la totalidad de las especificaciones técnicas mínimas exigidas en el punto 6 de las Bases.</w:t>
      </w:r>
    </w:p>
    <w:p>
      <w:pPr>
        <w:pStyle w:val="ListParagraph"/>
        <w:numPr>
          <w:ilvl w:val="0"/>
          <w:numId w:val="1"/>
        </w:numPr>
        <w:spacing w:after="80"/>
      </w:pPr>
      <w:r>
        <w:rPr>
          <w:b w:val="false"/>
          <w:bCs w:val="false"/>
        </w:rPr>
        <w:t xml:space="preserve">Condiciones de pago y garantía exactamente alineadas con la línea base de las Bases, sin desviaciones a validar.</w:t>
      </w:r>
    </w:p>
    <w:p>
      <w:pPr>
        <w:spacing w:after="120"/>
      </w:pPr>
      <w:r>
        <w:rPr>
          <w:b/>
          <w:bCs/>
          <w:i w:val="false"/>
          <w:iCs w:val="false"/>
        </w:rPr>
        <w:t xml:space="preserve">Debilidades</w:t>
      </w:r>
    </w:p>
    <w:p>
      <w:pPr>
        <w:pStyle w:val="ListParagraph"/>
        <w:numPr>
          <w:ilvl w:val="0"/>
          <w:numId w:val="1"/>
        </w:numPr>
        <w:spacing w:after="80"/>
      </w:pPr>
      <w:r>
        <w:rPr>
          <w:b w:val="false"/>
          <w:bCs w:val="false"/>
        </w:rPr>
        <w:t xml:space="preserve">Puntaje técnico el más bajo de los tres (2,32/4,20): en todos los subcriterios cumple justo el mínimo exigido, sin margen ni prestaciones adicionales.</w:t>
      </w:r>
    </w:p>
    <w:p>
      <w:pPr>
        <w:pStyle w:val="ListParagraph"/>
        <w:numPr>
          <w:ilvl w:val="0"/>
          <w:numId w:val="1"/>
        </w:numPr>
        <w:spacing w:after="80"/>
      </w:pPr>
      <w:r>
        <w:rPr>
          <w:b w:val="false"/>
          <w:bCs w:val="false"/>
        </w:rPr>
        <w:t xml:space="preserve">Experiencia acreditada en el límite mínimo (2 proyectos de los últimos 5 años).</w:t>
      </w:r>
    </w:p>
    <w:p>
      <w:pPr>
        <w:pStyle w:val="ListParagraph"/>
        <w:numPr>
          <w:ilvl w:val="0"/>
          <w:numId w:val="1"/>
        </w:numPr>
        <w:spacing w:after="80"/>
      </w:pPr>
      <w:r>
        <w:rPr>
          <w:b w:val="false"/>
          <w:bCs w:val="false"/>
        </w:rPr>
        <w:t xml:space="preserve">Plazo de entrega en el tope máximo permitido (75 días), sin holgura ante eventuales atrasos.</w:t>
      </w:r>
    </w:p>
    <w:p>
      <w:pPr>
        <w:spacing w:after="120"/>
      </w:pPr>
      <w:r>
        <w:rPr>
          <w:b/>
          <w:bCs/>
          <w:i w:val="false"/>
          <w:iCs w:val="false"/>
          <w:color w:val="8A1F11"/>
        </w:rPr>
        <w:t xml:space="preserve">Alertas</w:t>
      </w:r>
    </w:p>
    <w:p>
      <w:pPr>
        <w:pStyle w:val="ListParagraph"/>
        <w:numPr>
          <w:ilvl w:val="0"/>
          <w:numId w:val="1"/>
        </w:numPr>
        <w:spacing w:after="80"/>
      </w:pPr>
      <w:r>
        <w:rPr>
          <w:b w:val="false"/>
          <w:bCs w:val="false"/>
          <w:color w:val="8A1F11"/>
        </w:rPr>
        <w:t xml:space="preserve">No presentó el Anexo N°5 (oferta económica desglosada por ítem), exigido en el punto 8 de las Bases.</w:t>
      </w:r>
    </w:p>
    <w:p>
      <w:pPr>
        <w:pStyle w:val="ListParagraph"/>
        <w:numPr>
          <w:ilvl w:val="0"/>
          <w:numId w:val="1"/>
        </w:numPr>
        <w:spacing w:after="80"/>
      </w:pPr>
      <w:r>
        <w:rPr>
          <w:b w:val="false"/>
          <w:bCs w:val="false"/>
          <w:color w:val="8A1F11"/>
        </w:rPr>
        <w:t xml:space="preserve">No informó SLA de soporte/disponibilidad ni antecedentes de salud financiera.</w:t>
      </w:r>
    </w:p>
    <w:p>
      <w:pPr>
        <w:pStyle w:val="Heading2"/>
        <w:spacing w:after="150" w:before="300"/>
      </w:pPr>
      <w:r>
        <w:t xml:space="preserve">3.2 RefriGlobal Ingeniería S.A. (Oferente B)</w:t>
      </w:r>
    </w:p>
    <w:p>
      <w:pPr>
        <w:spacing w:after="120"/>
      </w:pPr>
      <w:r>
        <w:rPr>
          <w:b/>
          <w:bCs/>
          <w:i w:val="false"/>
          <w:iCs w:val="false"/>
        </w:rPr>
        <w:t xml:space="preserve">Puntaje técnico 3,25/4,20 · Puntaje comercial 2,6651/2,80 · Puntaje final 5,9151/7,00 (1° lugar, admisible)</w:t>
      </w:r>
    </w:p>
    <w:p>
      <w:pPr>
        <w:spacing w:after="120"/>
      </w:pPr>
      <w:r>
        <w:rPr>
          <w:b/>
          <w:bCs/>
          <w:i w:val="false"/>
          <w:iCs w:val="false"/>
        </w:rPr>
        <w:t xml:space="preserve">Fortalezas</w:t>
      </w:r>
    </w:p>
    <w:p>
      <w:pPr>
        <w:pStyle w:val="ListParagraph"/>
        <w:numPr>
          <w:ilvl w:val="0"/>
          <w:numId w:val="1"/>
        </w:numPr>
        <w:spacing w:after="80"/>
      </w:pPr>
      <w:r>
        <w:rPr>
          <w:b w:val="false"/>
          <w:bCs w:val="false"/>
        </w:rPr>
        <w:t xml:space="preserve">Mejor relación precio-calidad-riesgo del proceso: precio dentro de holgura frente al presupuesto referencial (+1,29%) y desempeño técnico muy superior a los mínimos exigidos.</w:t>
      </w:r>
    </w:p>
    <w:p>
      <w:pPr>
        <w:pStyle w:val="ListParagraph"/>
        <w:numPr>
          <w:ilvl w:val="0"/>
          <w:numId w:val="1"/>
        </w:numPr>
        <w:spacing w:after="80"/>
      </w:pPr>
      <w:r>
        <w:rPr>
          <w:b w:val="false"/>
          <w:bCs w:val="false"/>
        </w:rPr>
        <w:t xml:space="preserve">Mayor experiencia acreditada (4 proyectos) y garantía de fabricante extendida (30 meses).</w:t>
      </w:r>
    </w:p>
    <w:p>
      <w:pPr>
        <w:pStyle w:val="ListParagraph"/>
        <w:numPr>
          <w:ilvl w:val="0"/>
          <w:numId w:val="1"/>
        </w:numPr>
        <w:spacing w:after="80"/>
      </w:pPr>
      <w:r>
        <w:rPr>
          <w:b w:val="false"/>
          <w:bCs w:val="false"/>
        </w:rPr>
        <w:t xml:space="preserve">Propone una condición de pago más favorable para el Mandante (20/40/40) que la línea base de las Bases.</w:t>
      </w:r>
    </w:p>
    <w:p>
      <w:pPr>
        <w:pStyle w:val="ListParagraph"/>
        <w:numPr>
          <w:ilvl w:val="0"/>
          <w:numId w:val="1"/>
        </w:numPr>
        <w:spacing w:after="80"/>
      </w:pPr>
      <w:r>
        <w:rPr>
          <w:b w:val="false"/>
          <w:bCs w:val="false"/>
        </w:rPr>
        <w:t xml:space="preserve">Boleta de garantía de fiel cumplimiento con vigencia superior a la mínima exigida (90 días).</w:t>
      </w:r>
    </w:p>
    <w:p>
      <w:pPr>
        <w:spacing w:after="120"/>
      </w:pPr>
      <w:r>
        <w:rPr>
          <w:b/>
          <w:bCs/>
          <w:i w:val="false"/>
          <w:iCs w:val="false"/>
        </w:rPr>
        <w:t xml:space="preserve">Debilidades</w:t>
      </w:r>
    </w:p>
    <w:p>
      <w:pPr>
        <w:pStyle w:val="ListParagraph"/>
        <w:numPr>
          <w:ilvl w:val="0"/>
          <w:numId w:val="1"/>
        </w:numPr>
        <w:spacing w:after="80"/>
      </w:pPr>
      <w:r>
        <w:rPr>
          <w:b w:val="false"/>
          <w:bCs w:val="false"/>
        </w:rPr>
        <w:t xml:space="preserve">Precio superior al de Frío Industrial Andino (+5,06%), aunque dentro de todos los márgenes de admisibilidad y de desviación respecto del promedio del grupo.</w:t>
      </w:r>
    </w:p>
    <w:p>
      <w:pPr>
        <w:pStyle w:val="ListParagraph"/>
        <w:numPr>
          <w:ilvl w:val="0"/>
          <w:numId w:val="1"/>
        </w:numPr>
        <w:spacing w:after="80"/>
      </w:pPr>
      <w:r>
        <w:rPr>
          <w:b w:val="false"/>
          <w:bCs w:val="false"/>
        </w:rPr>
        <w:t xml:space="preserve">Como en los demás oferentes, no se cuenta con desglose de costos por ítem (Anexo N°5).</w:t>
      </w:r>
    </w:p>
    <w:p>
      <w:pPr>
        <w:spacing w:after="120"/>
      </w:pPr>
      <w:r>
        <w:rPr>
          <w:b/>
          <w:bCs/>
          <w:i w:val="false"/>
          <w:iCs w:val="false"/>
          <w:color w:val="8A1F11"/>
        </w:rPr>
        <w:t xml:space="preserve">Alertas</w:t>
      </w:r>
    </w:p>
    <w:p>
      <w:pPr>
        <w:pStyle w:val="ListParagraph"/>
        <w:numPr>
          <w:ilvl w:val="0"/>
          <w:numId w:val="1"/>
        </w:numPr>
        <w:spacing w:after="80"/>
      </w:pPr>
      <w:r>
        <w:rPr>
          <w:b w:val="false"/>
          <w:bCs w:val="false"/>
          <w:color w:val="8A1F11"/>
        </w:rPr>
        <w:t xml:space="preserve">No informó SLA de soporte/disponibilidad ni antecedentes de salud financiera.</w:t>
      </w:r>
    </w:p>
    <w:p>
      <w:pPr>
        <w:pStyle w:val="Heading2"/>
        <w:spacing w:after="150" w:before="300"/>
      </w:pPr>
      <w:r>
        <w:t xml:space="preserve">3.3 NH3 Technologies Chile SpA (Oferente C)</w:t>
      </w:r>
    </w:p>
    <w:p>
      <w:pPr>
        <w:spacing w:after="120"/>
      </w:pPr>
      <w:r>
        <w:rPr>
          <w:b/>
          <w:bCs/>
          <w:i w:val="false"/>
          <w:iCs w:val="false"/>
        </w:rPr>
        <w:t xml:space="preserve">Puntaje técnico 4,11/4,20 (el más alto) · Puntaje comercial 2,5529/2,80 (referencial) · Puntaje final 6,66/7,00 (referencial) — NO ADMISIBLE</w:t>
      </w:r>
    </w:p>
    <w:p>
      <w:pPr>
        <w:spacing w:after="120"/>
      </w:pPr>
      <w:r>
        <w:rPr>
          <w:b/>
          <w:bCs/>
          <w:i w:val="false"/>
          <w:iCs w:val="false"/>
        </w:rPr>
        <w:t xml:space="preserve">Fortalezas</w:t>
      </w:r>
    </w:p>
    <w:p>
      <w:pPr>
        <w:pStyle w:val="ListParagraph"/>
        <w:numPr>
          <w:ilvl w:val="0"/>
          <w:numId w:val="1"/>
        </w:numPr>
        <w:spacing w:after="80"/>
      </w:pPr>
      <w:r>
        <w:rPr>
          <w:b w:val="false"/>
          <w:bCs w:val="false"/>
        </w:rPr>
        <w:t xml:space="preserve">Propuesta técnica más completa del proceso: supera ampliamente los mínimos exigidos en capacidad de equipos, tecnología de monitoreo (IA predictiva), certificaciones (ISO 45001) y garantía de fabricante (36 meses).</w:t>
      </w:r>
    </w:p>
    <w:p>
      <w:pPr>
        <w:pStyle w:val="ListParagraph"/>
        <w:numPr>
          <w:ilvl w:val="0"/>
          <w:numId w:val="1"/>
        </w:numPr>
        <w:spacing w:after="80"/>
      </w:pPr>
      <w:r>
        <w:rPr>
          <w:b w:val="false"/>
          <w:bCs w:val="false"/>
        </w:rPr>
        <w:t xml:space="preserve">Mayor experiencia acreditada (5 proyectos, incluyendo los de mayor monto del proceso) y plazo de entrega más corto (60 días).</w:t>
      </w:r>
    </w:p>
    <w:p>
      <w:pPr>
        <w:pStyle w:val="ListParagraph"/>
        <w:numPr>
          <w:ilvl w:val="0"/>
          <w:numId w:val="1"/>
        </w:numPr>
        <w:spacing w:after="80"/>
      </w:pPr>
      <w:r>
        <w:rPr>
          <w:b w:val="false"/>
          <w:bCs w:val="false"/>
        </w:rPr>
        <w:t xml:space="preserve">Ofrece un 2% de descuento adicional por pago anticipado del segundo tramo.</w:t>
      </w:r>
    </w:p>
    <w:p>
      <w:pPr>
        <w:spacing w:after="120"/>
      </w:pPr>
      <w:r>
        <w:rPr>
          <w:b/>
          <w:bCs/>
          <w:i w:val="false"/>
          <w:iCs w:val="false"/>
        </w:rPr>
        <w:t xml:space="preserve">Debilidades</w:t>
      </w:r>
    </w:p>
    <w:p>
      <w:pPr>
        <w:pStyle w:val="ListParagraph"/>
        <w:numPr>
          <w:ilvl w:val="0"/>
          <w:numId w:val="1"/>
        </w:numPr>
        <w:spacing w:after="80"/>
      </w:pPr>
      <w:r>
        <w:rPr>
          <w:b w:val="false"/>
          <w:bCs w:val="false"/>
        </w:rPr>
        <w:t xml:space="preserve">Precio más alto del proceso y el único que excede el presupuesto referencial más allá del margen admisible.</w:t>
      </w:r>
    </w:p>
    <w:p>
      <w:pPr>
        <w:pStyle w:val="ListParagraph"/>
        <w:numPr>
          <w:ilvl w:val="0"/>
          <w:numId w:val="1"/>
        </w:numPr>
        <w:spacing w:after="80"/>
      </w:pPr>
      <w:r>
        <w:rPr>
          <w:b w:val="false"/>
          <w:bCs w:val="false"/>
        </w:rPr>
        <w:t xml:space="preserve">No especifica la vigencia posterior al término del servicio de su boleta de garantía de fiel cumplimiento.</w:t>
      </w:r>
    </w:p>
    <w:p>
      <w:pPr>
        <w:spacing w:after="120"/>
      </w:pPr>
      <w:r>
        <w:rPr>
          <w:b/>
          <w:bCs/>
          <w:i w:val="false"/>
          <w:iCs w:val="false"/>
          <w:color w:val="8A1F11"/>
        </w:rPr>
        <w:t xml:space="preserve">Alertas</w:t>
      </w:r>
    </w:p>
    <w:p>
      <w:pPr>
        <w:pStyle w:val="ListParagraph"/>
        <w:numPr>
          <w:ilvl w:val="0"/>
          <w:numId w:val="1"/>
        </w:numPr>
        <w:spacing w:after="80"/>
      </w:pPr>
      <w:r>
        <w:rPr>
          <w:b w:val="false"/>
          <w:bCs w:val="false"/>
          <w:color w:val="8A1F11"/>
        </w:rPr>
        <w:t xml:space="preserve">INADMISIBLE por precio: $197.200.000 equivale a +5,74% sobre el presupuesto referencial, sobre el margen máximo de 5% del punto 3 de las Bases y del punto 5 de POL-ABA-01. Su continuidad en el proceso requiere una excepción formal y documentada del Directorio (ver Sección 4), no comunicada a los oferentes durante la evaluación.</w:t>
      </w:r>
    </w:p>
    <w:p>
      <w:pPr>
        <w:pStyle w:val="ListParagraph"/>
        <w:numPr>
          <w:ilvl w:val="0"/>
          <w:numId w:val="1"/>
        </w:numPr>
        <w:spacing w:after="80"/>
      </w:pPr>
      <w:r>
        <w:rPr>
          <w:b w:val="false"/>
          <w:bCs w:val="false"/>
          <w:color w:val="8A1F11"/>
        </w:rPr>
        <w:t xml:space="preserve">No informó SLA de soporte/disponibilidad ni antecedentes de salud financiera.</w:t>
      </w:r>
    </w:p>
    <w:p>
      <w:r>
        <w:br w:type="page"/>
      </w:r>
    </w:p>
    <w:p>
      <w:pPr>
        <w:pStyle w:val="Heading1"/>
        <w:spacing w:after="150" w:before="300"/>
      </w:pPr>
      <w:r>
        <w:t xml:space="preserve">4. Ranking Final Ponderado y Recomendación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800"/>
        <w:gridCol w:w="2100"/>
      </w:tblGrid>
      <w:tr>
        <w:trPr>
          <w:tblHeader/>
        </w:trPr>
        <w:tc>
          <w:tcPr>
            <w:tcW w:type="dxa" w:w="1200"/>
            <w:shd w:fill="1F4E3D" w:val="clear"/>
            <w:tcMar>
              <w:top w:type="dxa" w:w="60"/>
              <w:left w:type="dxa" w:w="100"/>
              <w:bottom w:type="dxa" w:w="60"/>
              <w:right w:type="dxa" w:w="100"/>
            </w:tcMar>
            <w:vAlign w:val="center"/>
          </w:tcPr>
          <w:p>
            <w:r>
              <w:rPr>
                <w:b/>
                <w:bCs/>
                <w:color w:val="FFFFFF"/>
                <w:sz w:val="18"/>
                <w:szCs w:val="18"/>
              </w:rPr>
              <w:t xml:space="preserve">Pos.</w:t>
            </w:r>
          </w:p>
        </w:tc>
        <w:tc>
          <w:tcPr>
            <w:tcW w:type="dxa" w:w="3400"/>
            <w:shd w:fill="1F4E3D" w:val="clear"/>
            <w:tcMar>
              <w:top w:type="dxa" w:w="60"/>
              <w:left w:type="dxa" w:w="100"/>
              <w:bottom w:type="dxa" w:w="60"/>
              <w:right w:type="dxa" w:w="100"/>
            </w:tcMar>
            <w:vAlign w:val="center"/>
          </w:tcPr>
          <w:p>
            <w:r>
              <w:rPr>
                <w:b/>
                <w:bCs/>
                <w:color w:val="FFFFFF"/>
                <w:sz w:val="18"/>
                <w:szCs w:val="18"/>
              </w:rPr>
              <w:t xml:space="preserve">Oferente</w:t>
            </w:r>
          </w:p>
        </w:tc>
        <w:tc>
          <w:tcPr>
            <w:tcW w:type="dxa" w:w="1800"/>
            <w:shd w:fill="1F4E3D" w:val="clear"/>
            <w:tcMar>
              <w:top w:type="dxa" w:w="60"/>
              <w:left w:type="dxa" w:w="100"/>
              <w:bottom w:type="dxa" w:w="60"/>
              <w:right w:type="dxa" w:w="100"/>
            </w:tcMar>
            <w:vAlign w:val="center"/>
          </w:tcPr>
          <w:p>
            <w:r>
              <w:rPr>
                <w:b/>
                <w:bCs/>
                <w:color w:val="FFFFFF"/>
                <w:sz w:val="18"/>
                <w:szCs w:val="18"/>
              </w:rPr>
              <w:t xml:space="preserve">Puntaje final (máx. 7,00)</w:t>
            </w:r>
          </w:p>
        </w:tc>
        <w:tc>
          <w:tcPr>
            <w:tcW w:type="dxa" w:w="2100"/>
            <w:shd w:fill="1F4E3D" w:val="clear"/>
            <w:tcMar>
              <w:top w:type="dxa" w:w="60"/>
              <w:left w:type="dxa" w:w="100"/>
              <w:bottom w:type="dxa" w:w="60"/>
              <w:right w:type="dxa" w:w="100"/>
            </w:tcMar>
            <w:vAlign w:val="center"/>
          </w:tcPr>
          <w:p>
            <w:r>
              <w:rPr>
                <w:b/>
                <w:bCs/>
                <w:color w:val="FFFFFF"/>
                <w:sz w:val="18"/>
                <w:szCs w:val="18"/>
              </w:rPr>
              <w:t xml:space="preserve">Admisibilidad</w:t>
            </w:r>
          </w:p>
        </w:tc>
      </w:tr>
      <w:tr>
        <w:tc>
          <w:tcPr>
            <w:tcW w:type="dxa" w:w="1200"/>
            <w:shd w:fill="EFF3F1" w:val="clear"/>
            <w:tcMar>
              <w:top w:type="dxa" w:w="60"/>
              <w:left w:type="dxa" w:w="100"/>
              <w:bottom w:type="dxa" w:w="60"/>
              <w:right w:type="dxa" w:w="100"/>
            </w:tcMar>
            <w:vAlign w:val="center"/>
          </w:tcPr>
          <w:p>
            <w:r>
              <w:rPr>
                <w:b/>
                <w:bCs/>
                <w:sz w:val="18"/>
                <w:szCs w:val="18"/>
              </w:rPr>
              <w:t xml:space="preserve">1</w:t>
            </w:r>
          </w:p>
        </w:tc>
        <w:tc>
          <w:tcPr>
            <w:tcW w:type="dxa" w:w="3400"/>
            <w:shd w:fill="EFF3F1" w:val="clear"/>
            <w:tcMar>
              <w:top w:type="dxa" w:w="60"/>
              <w:left w:type="dxa" w:w="100"/>
              <w:bottom w:type="dxa" w:w="60"/>
              <w:right w:type="dxa" w:w="100"/>
            </w:tcMar>
            <w:vAlign w:val="center"/>
          </w:tcPr>
          <w:p>
            <w:r>
              <w:rPr>
                <w:b/>
                <w:bCs/>
                <w:sz w:val="18"/>
                <w:szCs w:val="18"/>
              </w:rPr>
              <w:t xml:space="preserve">RefriGlobal Ingeniería S.A.</w:t>
            </w:r>
          </w:p>
        </w:tc>
        <w:tc>
          <w:tcPr>
            <w:tcW w:type="dxa" w:w="1800"/>
            <w:shd w:fill="EFF3F1" w:val="clear"/>
            <w:tcMar>
              <w:top w:type="dxa" w:w="60"/>
              <w:left w:type="dxa" w:w="100"/>
              <w:bottom w:type="dxa" w:w="60"/>
              <w:right w:type="dxa" w:w="100"/>
            </w:tcMar>
            <w:vAlign w:val="center"/>
          </w:tcPr>
          <w:p>
            <w:r>
              <w:rPr>
                <w:b/>
                <w:bCs/>
                <w:sz w:val="18"/>
                <w:szCs w:val="18"/>
              </w:rPr>
              <w:t xml:space="preserve">5,9151</w:t>
            </w:r>
          </w:p>
        </w:tc>
        <w:tc>
          <w:tcPr>
            <w:tcW w:type="dxa" w:w="2100"/>
            <w:shd w:fill="EFF3F1" w:val="clear"/>
            <w:tcMar>
              <w:top w:type="dxa" w:w="60"/>
              <w:left w:type="dxa" w:w="100"/>
              <w:bottom w:type="dxa" w:w="60"/>
              <w:right w:type="dxa" w:w="100"/>
            </w:tcMar>
            <w:vAlign w:val="center"/>
          </w:tcPr>
          <w:p>
            <w:r>
              <w:rPr>
                <w:b/>
                <w:bCs/>
                <w:sz w:val="18"/>
                <w:szCs w:val="18"/>
              </w:rPr>
              <w:t xml:space="preserve">Admisible</w:t>
            </w:r>
          </w:p>
        </w:tc>
      </w:tr>
      <w:tr>
        <w:tc>
          <w:tcPr>
            <w:tcW w:type="dxa" w:w="1200"/>
            <w:tcMar>
              <w:top w:type="dxa" w:w="60"/>
              <w:left w:type="dxa" w:w="100"/>
              <w:bottom w:type="dxa" w:w="60"/>
              <w:right w:type="dxa" w:w="100"/>
            </w:tcMar>
            <w:vAlign w:val="center"/>
          </w:tcPr>
          <w:p>
            <w:r>
              <w:rPr>
                <w:b w:val="false"/>
                <w:bCs w:val="false"/>
                <w:sz w:val="18"/>
                <w:szCs w:val="18"/>
              </w:rPr>
              <w:t xml:space="preserve">2</w:t>
            </w:r>
          </w:p>
        </w:tc>
        <w:tc>
          <w:tcPr>
            <w:tcW w:type="dxa" w:w="3400"/>
            <w:tcMar>
              <w:top w:type="dxa" w:w="60"/>
              <w:left w:type="dxa" w:w="100"/>
              <w:bottom w:type="dxa" w:w="60"/>
              <w:right w:type="dxa" w:w="100"/>
            </w:tcMar>
            <w:vAlign w:val="center"/>
          </w:tcPr>
          <w:p>
            <w:r>
              <w:rPr>
                <w:b w:val="false"/>
                <w:bCs w:val="false"/>
                <w:sz w:val="18"/>
                <w:szCs w:val="18"/>
              </w:rPr>
              <w:t xml:space="preserve">Frío Industrial Andino Ltda.</w:t>
            </w:r>
          </w:p>
        </w:tc>
        <w:tc>
          <w:tcPr>
            <w:tcW w:type="dxa" w:w="1800"/>
            <w:tcMar>
              <w:top w:type="dxa" w:w="60"/>
              <w:left w:type="dxa" w:w="100"/>
              <w:bottom w:type="dxa" w:w="60"/>
              <w:right w:type="dxa" w:w="100"/>
            </w:tcMar>
            <w:vAlign w:val="center"/>
          </w:tcPr>
          <w:p>
            <w:r>
              <w:rPr>
                <w:b w:val="false"/>
                <w:bCs w:val="false"/>
                <w:sz w:val="18"/>
                <w:szCs w:val="18"/>
              </w:rPr>
              <w:t xml:space="preserve">5,12</w:t>
            </w:r>
          </w:p>
        </w:tc>
        <w:tc>
          <w:tcPr>
            <w:tcW w:type="dxa" w:w="2100"/>
            <w:tcMar>
              <w:top w:type="dxa" w:w="60"/>
              <w:left w:type="dxa" w:w="100"/>
              <w:bottom w:type="dxa" w:w="60"/>
              <w:right w:type="dxa" w:w="100"/>
            </w:tcMar>
            <w:vAlign w:val="center"/>
          </w:tcPr>
          <w:p>
            <w:r>
              <w:rPr>
                <w:b w:val="false"/>
                <w:bCs w:val="false"/>
                <w:sz w:val="18"/>
                <w:szCs w:val="18"/>
              </w:rPr>
              <w:t xml:space="preserve">Admisible</w:t>
            </w:r>
          </w:p>
        </w:tc>
      </w:tr>
      <w:tr>
        <w:tc>
          <w:tcPr>
            <w:tcW w:type="dxa" w:w="1200"/>
            <w:shd w:fill="FBE8E6" w:val="clear"/>
            <w:tcMar>
              <w:top w:type="dxa" w:w="60"/>
              <w:left w:type="dxa" w:w="100"/>
              <w:bottom w:type="dxa" w:w="60"/>
              <w:right w:type="dxa" w:w="100"/>
            </w:tcMar>
            <w:vAlign w:val="center"/>
          </w:tcPr>
          <w:p>
            <w:r>
              <w:rPr>
                <w:b w:val="false"/>
                <w:bCs w:val="false"/>
                <w:sz w:val="18"/>
                <w:szCs w:val="18"/>
              </w:rPr>
              <w:t xml:space="preserve">—</w:t>
            </w:r>
          </w:p>
        </w:tc>
        <w:tc>
          <w:tcPr>
            <w:tcW w:type="dxa" w:w="3400"/>
            <w:shd w:fill="FBE8E6" w:val="clear"/>
            <w:tcMar>
              <w:top w:type="dxa" w:w="60"/>
              <w:left w:type="dxa" w:w="100"/>
              <w:bottom w:type="dxa" w:w="60"/>
              <w:right w:type="dxa" w:w="100"/>
            </w:tcMar>
            <w:vAlign w:val="center"/>
          </w:tcPr>
          <w:p>
            <w:r>
              <w:rPr>
                <w:b w:val="false"/>
                <w:bCs w:val="false"/>
                <w:sz w:val="18"/>
                <w:szCs w:val="18"/>
              </w:rPr>
              <w:t xml:space="preserve">NH3 Technologies Chile SpA</w:t>
            </w:r>
          </w:p>
        </w:tc>
        <w:tc>
          <w:tcPr>
            <w:tcW w:type="dxa" w:w="1800"/>
            <w:shd w:fill="FBE8E6" w:val="clear"/>
            <w:tcMar>
              <w:top w:type="dxa" w:w="60"/>
              <w:left w:type="dxa" w:w="100"/>
              <w:bottom w:type="dxa" w:w="60"/>
              <w:right w:type="dxa" w:w="100"/>
            </w:tcMar>
            <w:vAlign w:val="center"/>
          </w:tcPr>
          <w:p>
            <w:r>
              <w:rPr>
                <w:b w:val="false"/>
                <w:bCs w:val="false"/>
                <w:sz w:val="18"/>
                <w:szCs w:val="18"/>
              </w:rPr>
              <w:t xml:space="preserve">6,66 (referencial)</w:t>
            </w:r>
          </w:p>
        </w:tc>
        <w:tc>
          <w:tcPr>
            <w:tcW w:type="dxa" w:w="2100"/>
            <w:shd w:fill="FBE8E6" w:val="clear"/>
            <w:tcMar>
              <w:top w:type="dxa" w:w="60"/>
              <w:left w:type="dxa" w:w="100"/>
              <w:bottom w:type="dxa" w:w="60"/>
              <w:right w:type="dxa" w:w="100"/>
            </w:tcMar>
            <w:vAlign w:val="center"/>
          </w:tcPr>
          <w:p>
            <w:r>
              <w:rPr>
                <w:b w:val="false"/>
                <w:bCs w:val="false"/>
                <w:sz w:val="18"/>
                <w:szCs w:val="18"/>
              </w:rPr>
              <w:t xml:space="preserve">NO ADMISIBLE por precio</w:t>
            </w:r>
          </w:p>
        </w:tc>
      </w:tr>
    </w:tbl>
    <w:p>
      <w:pPr>
        <w:spacing w:after="120"/>
      </w:pPr>
      <w:r>
        <w:rPr>
          <w:b w:val="false"/>
          <w:bCs w:val="false"/>
          <w:i/>
          <w:iCs/>
        </w:rPr>
        <w:t xml:space="preserve">Alerta de proximidad: la diferencia entre el 1° y el 2° lugar (0,80 puntos en escala 1-7) está bajo el umbral de 2 puntos definido por el Comité para este proceso. Fue notificada y revisada: los factores diferenciadores (mejor puntaje técnico, experiencia, plazo, garantía y condición de pago a favor de RefriGlobal; menor precio a favor de Frío Industrial Andino) confirman que el orden resultante del puntaje ponderado oficial es coherente con el principio de mejor relación precio-calidad-riesgo del punto 2 de POL-ABA-01, y así fue confirmado por el Comité.</w:t>
      </w:r>
    </w:p>
    <w:p>
      <w:pPr>
        <w:pStyle w:val="Heading2"/>
        <w:spacing w:after="150" w:before="300"/>
      </w:pPr>
      <w:r>
        <w:t xml:space="preserve">4.1 Recomendación</w:t>
      </w:r>
    </w:p>
    <w:p>
      <w:pPr>
        <w:spacing w:after="120"/>
      </w:pPr>
      <w:r>
        <w:rPr>
          <w:b w:val="false"/>
          <w:bCs w:val="false"/>
          <w:i w:val="false"/>
          <w:iCs w:val="false"/>
        </w:rPr>
        <w:t xml:space="preserve">El Comité de Evaluación aprobó la siguiente shortlist para una segunda ronda de aclaraciones, en igualdad de condiciones para los tres oferentes:</w:t>
      </w:r>
    </w:p>
    <w:p>
      <w:pPr>
        <w:pStyle w:val="ListParagraph"/>
        <w:numPr>
          <w:ilvl w:val="0"/>
          <w:numId w:val="1"/>
        </w:numPr>
        <w:spacing w:after="80"/>
      </w:pPr>
      <w:r>
        <w:rPr>
          <w:b w:val="false"/>
          <w:bCs w:val="false"/>
        </w:rPr>
        <w:t xml:space="preserve">1° RefriGlobal Ingeniería S.A. — mejor puntaje ponderado admisible.</w:t>
      </w:r>
    </w:p>
    <w:p>
      <w:pPr>
        <w:pStyle w:val="ListParagraph"/>
        <w:numPr>
          <w:ilvl w:val="0"/>
          <w:numId w:val="1"/>
        </w:numPr>
        <w:spacing w:after="80"/>
      </w:pPr>
      <w:r>
        <w:rPr>
          <w:b w:val="false"/>
          <w:bCs w:val="false"/>
        </w:rPr>
        <w:t xml:space="preserve">2° Frío Industrial Andino Ltda. — segundo mejor puntaje ponderado admisible.</w:t>
      </w:r>
    </w:p>
    <w:p>
      <w:pPr>
        <w:pStyle w:val="ListParagraph"/>
        <w:numPr>
          <w:ilvl w:val="0"/>
          <w:numId w:val="1"/>
        </w:numPr>
        <w:spacing w:after="80"/>
      </w:pPr>
      <w:r>
        <w:rPr>
          <w:b w:val="false"/>
          <w:bCs w:val="false"/>
        </w:rPr>
        <w:t xml:space="preserve">3° NH3 Technologies Chile SpA — incluida por decisión expresa del Comité pese a su inadmisibilidad de precio; su continuidad queda condicionada a la autorización formal del Directorio.</w:t>
      </w:r>
    </w:p>
    <w:p>
      <w:pPr>
        <w:spacing w:after="120"/>
      </w:pPr>
      <w:r>
        <w:rPr>
          <w:b/>
          <w:bCs/>
          <w:i w:val="false"/>
          <w:iCs w:val="false"/>
          <w:color w:val="8A1F11"/>
        </w:rPr>
        <w:t xml:space="preserve">No se recomienda adjudicar en esta etapa.</w:t>
      </w:r>
    </w:p>
    <w:p>
      <w:pPr>
        <w:spacing w:after="120"/>
      </w:pPr>
      <w:r>
        <w:rPr>
          <w:b w:val="false"/>
          <w:bCs w:val="false"/>
          <w:i w:val="false"/>
          <w:iCs w:val="false"/>
        </w:rPr>
        <w:t xml:space="preserve">La adjudicación final debe esperar a: (a) las respuestas de los tres oferentes a la solicitud de aclaraciones (Anexo N°5 desglosado, SLA de soporte y disponibilidad, antecedentes de salud financiera; adicionalmente a NH3 Technologies, la vigencia de su boleta de garantía); y (b) la resolución expresa del Directorio sobre la excepción de admisibilidad de precio solicitada para NH3 Technologies. Si el Directorio no autoriza la excepción, este oferente queda fuera del proceso conforme al punto 3 de las Bases, y la recomendación de adjudicación recae, sujeta al resultado de la segunda ronda, en RefriGlobal Ingeniería S.A. Conforme al punto 7 de POL-ABA-01, la negociación final de condiciones solo podrá realizarse con el oferente que resulte en el primer lugar, no en paralelo con más de un oferente.</w:t>
      </w:r>
    </w:p>
    <w:p>
      <w:r>
        <w:br w:type="page"/>
      </w:r>
    </w:p>
    <w:p>
      <w:pPr>
        <w:pStyle w:val="Heading1"/>
        <w:spacing w:after="150" w:before="300"/>
      </w:pPr>
      <w:r>
        <w:t xml:space="preserve">Anexo — Criterios de Evaluación Aplicados y Pesos Utilizados</w:t>
      </w:r>
    </w:p>
    <w:p>
      <w:pPr>
        <w:spacing w:after="120"/>
      </w:pPr>
      <w:r>
        <w:rPr>
          <w:b w:val="false"/>
          <w:bCs w:val="false"/>
          <w:i w:val="false"/>
          <w:iCs w:val="false"/>
        </w:rPr>
        <w:t xml:space="preserve">Fuente: punto 7 de las Bases de la Licitación 128-2026 y matriz de evaluación técnica oficial (Matriz_Evaluacion_Tecnica_Licitacion_128-2026.xlsx). Escala de notas: 1 a 7 (1 = No cumple / Insuficiente; 4 = Cumple parcialmente / Aceptable; 7 = Cumple completa y sobresalientemente).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00"/>
      </w:tblGrid>
      <w:tr>
        <w:trPr>
          <w:tblHeader/>
        </w:trPr>
        <w:tc>
          <w:tcPr>
            <w:tcW w:type="dxa" w:w="3600"/>
            <w:shd w:fill="1F4E3D" w:val="clear"/>
            <w:tcMar>
              <w:top w:type="dxa" w:w="60"/>
              <w:left w:type="dxa" w:w="100"/>
              <w:bottom w:type="dxa" w:w="60"/>
              <w:right w:type="dxa" w:w="100"/>
            </w:tcMar>
            <w:vAlign w:val="center"/>
          </w:tcPr>
          <w:p>
            <w:r>
              <w:rPr>
                <w:b/>
                <w:bCs/>
                <w:color w:val="FFFFFF"/>
                <w:sz w:val="18"/>
                <w:szCs w:val="18"/>
              </w:rPr>
              <w:t xml:space="preserve">Categoría</w:t>
            </w:r>
          </w:p>
        </w:tc>
        <w:tc>
          <w:tcPr>
            <w:tcW w:type="dxa" w:w="1400"/>
            <w:shd w:fill="1F4E3D" w:val="clear"/>
            <w:tcMar>
              <w:top w:type="dxa" w:w="60"/>
              <w:left w:type="dxa" w:w="100"/>
              <w:bottom w:type="dxa" w:w="60"/>
              <w:right w:type="dxa" w:w="100"/>
            </w:tcMar>
            <w:vAlign w:val="center"/>
          </w:tcPr>
          <w:p>
            <w:r>
              <w:rPr>
                <w:b/>
                <w:bCs/>
                <w:color w:val="FFFFFF"/>
                <w:sz w:val="18"/>
                <w:szCs w:val="18"/>
              </w:rPr>
              <w:t xml:space="preserve">Peso</w:t>
            </w:r>
          </w:p>
        </w:tc>
        <w:tc>
          <w:tcPr>
            <w:tcW w:type="dxa" w:w="4300"/>
            <w:shd w:fill="1F4E3D" w:val="clear"/>
            <w:tcMar>
              <w:top w:type="dxa" w:w="60"/>
              <w:left w:type="dxa" w:w="100"/>
              <w:bottom w:type="dxa" w:w="60"/>
              <w:right w:type="dxa" w:w="100"/>
            </w:tcMar>
            <w:vAlign w:val="center"/>
          </w:tcPr>
          <w:p>
            <w:r>
              <w:rPr>
                <w:b/>
                <w:bCs/>
                <w:color w:val="FFFFFF"/>
                <w:sz w:val="18"/>
                <w:szCs w:val="18"/>
              </w:rPr>
              <w:t xml:space="preserve">Subcriterios (peso individual)</w:t>
            </w:r>
          </w:p>
        </w:tc>
      </w:tr>
      <w:tr>
        <w:tc>
          <w:tcPr>
            <w:tcW w:type="dxa" w:w="3600"/>
            <w:tcMar>
              <w:top w:type="dxa" w:w="60"/>
              <w:left w:type="dxa" w:w="100"/>
              <w:bottom w:type="dxa" w:w="60"/>
              <w:right w:type="dxa" w:w="100"/>
            </w:tcMar>
            <w:vAlign w:val="center"/>
          </w:tcPr>
          <w:p>
            <w:r>
              <w:rPr>
                <w:b w:val="false"/>
                <w:bCs w:val="false"/>
                <w:sz w:val="18"/>
                <w:szCs w:val="18"/>
              </w:rPr>
              <w:t xml:space="preserve">1. Precio ofertado (Comercial)</w:t>
            </w:r>
          </w:p>
        </w:tc>
        <w:tc>
          <w:tcPr>
            <w:tcW w:type="dxa" w:w="1400"/>
            <w:tcMar>
              <w:top w:type="dxa" w:w="60"/>
              <w:left w:type="dxa" w:w="100"/>
              <w:bottom w:type="dxa" w:w="60"/>
              <w:right w:type="dxa" w:w="100"/>
            </w:tcMar>
            <w:vAlign w:val="center"/>
          </w:tcPr>
          <w:p>
            <w:r>
              <w:rPr>
                <w:b w:val="false"/>
                <w:bCs w:val="false"/>
                <w:sz w:val="18"/>
                <w:szCs w:val="18"/>
              </w:rPr>
              <w:t xml:space="preserve">40%</w:t>
            </w:r>
          </w:p>
        </w:tc>
        <w:tc>
          <w:tcPr>
            <w:tcW w:type="dxa" w:w="4300"/>
            <w:tcMar>
              <w:top w:type="dxa" w:w="60"/>
              <w:left w:type="dxa" w:w="100"/>
              <w:bottom w:type="dxa" w:w="60"/>
              <w:right w:type="dxa" w:w="100"/>
            </w:tcMar>
            <w:vAlign w:val="center"/>
          </w:tcPr>
          <w:p>
            <w:r>
              <w:rPr>
                <w:b w:val="false"/>
                <w:bCs w:val="false"/>
                <w:sz w:val="18"/>
                <w:szCs w:val="18"/>
              </w:rPr>
              <w:t xml:space="preserve">Precio respecto al presupuesto referencial y a la oferta de menor valor. Nota = MIN(precios) / precio oferente × 7 (40%).</w:t>
            </w:r>
          </w:p>
        </w:tc>
      </w:tr>
      <w:tr>
        <w:tc>
          <w:tcPr>
            <w:tcW w:type="dxa" w:w="3600"/>
            <w:tcMar>
              <w:top w:type="dxa" w:w="60"/>
              <w:left w:type="dxa" w:w="100"/>
              <w:bottom w:type="dxa" w:w="60"/>
              <w:right w:type="dxa" w:w="100"/>
            </w:tcMar>
            <w:vAlign w:val="center"/>
          </w:tcPr>
          <w:p>
            <w:r>
              <w:rPr>
                <w:b w:val="false"/>
                <w:bCs w:val="false"/>
                <w:sz w:val="18"/>
                <w:szCs w:val="18"/>
              </w:rPr>
              <w:t xml:space="preserve">2. Experiencia y proyectos similares (Técnico)</w:t>
            </w:r>
          </w:p>
        </w:tc>
        <w:tc>
          <w:tcPr>
            <w:tcW w:type="dxa" w:w="1400"/>
            <w:tcMar>
              <w:top w:type="dxa" w:w="60"/>
              <w:left w:type="dxa" w:w="100"/>
              <w:bottom w:type="dxa" w:w="60"/>
              <w:right w:type="dxa" w:w="100"/>
            </w:tcMar>
            <w:vAlign w:val="center"/>
          </w:tcPr>
          <w:p>
            <w:r>
              <w:rPr>
                <w:b w:val="false"/>
                <w:bCs w:val="false"/>
                <w:sz w:val="18"/>
                <w:szCs w:val="18"/>
              </w:rPr>
              <w:t xml:space="preserve">25%</w:t>
            </w:r>
          </w:p>
        </w:tc>
        <w:tc>
          <w:tcPr>
            <w:tcW w:type="dxa" w:w="4300"/>
            <w:tcMar>
              <w:top w:type="dxa" w:w="60"/>
              <w:left w:type="dxa" w:w="100"/>
              <w:bottom w:type="dxa" w:w="60"/>
              <w:right w:type="dxa" w:w="100"/>
            </w:tcMar>
            <w:vAlign w:val="center"/>
          </w:tcPr>
          <w:p>
            <w:r>
              <w:rPr>
                <w:b w:val="false"/>
                <w:bCs w:val="false"/>
                <w:sz w:val="18"/>
                <w:szCs w:val="18"/>
              </w:rPr>
              <w:t xml:space="preserve">N° de proyectos similares, mínimo 2 (10%) · Monto y envergadura de los proyectos (8%) · Pertinencia del rubro y respaldo documental (7%)</w:t>
            </w:r>
          </w:p>
        </w:tc>
      </w:tr>
      <w:tr>
        <w:tc>
          <w:tcPr>
            <w:tcW w:type="dxa" w:w="3600"/>
            <w:tcMar>
              <w:top w:type="dxa" w:w="60"/>
              <w:left w:type="dxa" w:w="100"/>
              <w:bottom w:type="dxa" w:w="60"/>
              <w:right w:type="dxa" w:w="100"/>
            </w:tcMar>
            <w:vAlign w:val="center"/>
          </w:tcPr>
          <w:p>
            <w:r>
              <w:rPr>
                <w:b w:val="false"/>
                <w:bCs w:val="false"/>
                <w:sz w:val="18"/>
                <w:szCs w:val="18"/>
              </w:rPr>
              <w:t xml:space="preserve">3. Plazo de entrega e instalación (Técnico)</w:t>
            </w:r>
          </w:p>
        </w:tc>
        <w:tc>
          <w:tcPr>
            <w:tcW w:type="dxa" w:w="1400"/>
            <w:tcMar>
              <w:top w:type="dxa" w:w="60"/>
              <w:left w:type="dxa" w:w="100"/>
              <w:bottom w:type="dxa" w:w="60"/>
              <w:right w:type="dxa" w:w="100"/>
            </w:tcMar>
            <w:vAlign w:val="center"/>
          </w:tcPr>
          <w:p>
            <w:r>
              <w:rPr>
                <w:b w:val="false"/>
                <w:bCs w:val="false"/>
                <w:sz w:val="18"/>
                <w:szCs w:val="18"/>
              </w:rPr>
              <w:t xml:space="preserve">15%</w:t>
            </w:r>
          </w:p>
        </w:tc>
        <w:tc>
          <w:tcPr>
            <w:tcW w:type="dxa" w:w="4300"/>
            <w:tcMar>
              <w:top w:type="dxa" w:w="60"/>
              <w:left w:type="dxa" w:w="100"/>
              <w:bottom w:type="dxa" w:w="60"/>
              <w:right w:type="dxa" w:w="100"/>
            </w:tcMar>
            <w:vAlign w:val="center"/>
          </w:tcPr>
          <w:p>
            <w:r>
              <w:rPr>
                <w:b w:val="false"/>
                <w:bCs w:val="false"/>
                <w:sz w:val="18"/>
                <w:szCs w:val="18"/>
              </w:rPr>
              <w:t xml:space="preserve">Plazo ofertado respecto del máximo de 75 días corridos (15%)</w:t>
            </w:r>
          </w:p>
        </w:tc>
      </w:tr>
      <w:tr>
        <w:tc>
          <w:tcPr>
            <w:tcW w:type="dxa" w:w="3600"/>
            <w:tcMar>
              <w:top w:type="dxa" w:w="60"/>
              <w:left w:type="dxa" w:w="100"/>
              <w:bottom w:type="dxa" w:w="60"/>
              <w:right w:type="dxa" w:w="100"/>
            </w:tcMar>
            <w:vAlign w:val="center"/>
          </w:tcPr>
          <w:p>
            <w:r>
              <w:rPr>
                <w:b w:val="false"/>
                <w:bCs w:val="false"/>
                <w:sz w:val="18"/>
                <w:szCs w:val="18"/>
              </w:rPr>
              <w:t xml:space="preserve">4. Cumplimiento de especificaciones técnicas (Técnico)</w:t>
            </w:r>
          </w:p>
        </w:tc>
        <w:tc>
          <w:tcPr>
            <w:tcW w:type="dxa" w:w="1400"/>
            <w:tcMar>
              <w:top w:type="dxa" w:w="60"/>
              <w:left w:type="dxa" w:w="100"/>
              <w:bottom w:type="dxa" w:w="60"/>
              <w:right w:type="dxa" w:w="100"/>
            </w:tcMar>
            <w:vAlign w:val="center"/>
          </w:tcPr>
          <w:p>
            <w:r>
              <w:rPr>
                <w:b w:val="false"/>
                <w:bCs w:val="false"/>
                <w:sz w:val="18"/>
                <w:szCs w:val="18"/>
              </w:rPr>
              <w:t xml:space="preserve">20%</w:t>
            </w:r>
          </w:p>
        </w:tc>
        <w:tc>
          <w:tcPr>
            <w:tcW w:type="dxa" w:w="4300"/>
            <w:tcMar>
              <w:top w:type="dxa" w:w="60"/>
              <w:left w:type="dxa" w:w="100"/>
              <w:bottom w:type="dxa" w:w="60"/>
              <w:right w:type="dxa" w:w="100"/>
            </w:tcMar>
            <w:vAlign w:val="center"/>
          </w:tcPr>
          <w:p>
            <w:r>
              <w:rPr>
                <w:b w:val="false"/>
                <w:bCs w:val="false"/>
                <w:sz w:val="18"/>
                <w:szCs w:val="18"/>
              </w:rPr>
              <w:t xml:space="preserve">Condensadoras NH3 ≥250TR (4%) · Torres de enfriamiento (3%) · Monitoreo remoto (3%) · Válvulas de expansión (2%) · Mantención preventiva (3%) · Capacitación técnica (2%) · Normativa DS43/NCh2857 y garantía (3%)</w:t>
            </w:r>
          </w:p>
        </w:tc>
      </w:tr>
      <w:tr>
        <w:tc>
          <w:tcPr>
            <w:tcW w:type="dxa" w:w="3600"/>
            <w:shd w:fill="EFF3F1" w:val="clear"/>
            <w:tcMar>
              <w:top w:type="dxa" w:w="60"/>
              <w:left w:type="dxa" w:w="100"/>
              <w:bottom w:type="dxa" w:w="60"/>
              <w:right w:type="dxa" w:w="100"/>
            </w:tcMar>
            <w:vAlign w:val="center"/>
          </w:tcPr>
          <w:p>
            <w:r>
              <w:rPr>
                <w:b/>
                <w:bCs/>
                <w:sz w:val="18"/>
                <w:szCs w:val="18"/>
              </w:rPr>
              <w:t xml:space="preserve">Total técnico (Categorías 2+3+4)</w:t>
            </w:r>
          </w:p>
        </w:tc>
        <w:tc>
          <w:tcPr>
            <w:tcW w:type="dxa" w:w="1400"/>
            <w:shd w:fill="EFF3F1" w:val="clear"/>
            <w:tcMar>
              <w:top w:type="dxa" w:w="60"/>
              <w:left w:type="dxa" w:w="100"/>
              <w:bottom w:type="dxa" w:w="60"/>
              <w:right w:type="dxa" w:w="100"/>
            </w:tcMar>
            <w:vAlign w:val="center"/>
          </w:tcPr>
          <w:p>
            <w:r>
              <w:rPr>
                <w:b/>
                <w:bCs/>
                <w:sz w:val="18"/>
                <w:szCs w:val="18"/>
              </w:rPr>
              <w:t xml:space="preserve">60%</w:t>
            </w:r>
          </w:p>
        </w:tc>
        <w:tc>
          <w:tcPr>
            <w:tcW w:type="dxa" w:w="4300"/>
            <w:shd w:fill="EFF3F1" w:val="clear"/>
            <w:tcMar>
              <w:top w:type="dxa" w:w="60"/>
              <w:left w:type="dxa" w:w="100"/>
              <w:bottom w:type="dxa" w:w="60"/>
              <w:right w:type="dxa" w:w="100"/>
            </w:tcMar>
            <w:vAlign w:val="center"/>
          </w:tcPr>
          <w:p>
            <w:r>
              <w:rPr>
                <w:b/>
                <w:bCs/>
                <w:sz w:val="18"/>
                <w:szCs w:val="18"/>
              </w:rPr>
              <w:t xml:space="preserve"/>
            </w:r>
          </w:p>
        </w:tc>
      </w:tr>
      <w:tr>
        <w:tc>
          <w:tcPr>
            <w:tcW w:type="dxa" w:w="3600"/>
            <w:shd w:fill="EFF3F1" w:val="clear"/>
            <w:tcMar>
              <w:top w:type="dxa" w:w="60"/>
              <w:left w:type="dxa" w:w="100"/>
              <w:bottom w:type="dxa" w:w="60"/>
              <w:right w:type="dxa" w:w="100"/>
            </w:tcMar>
            <w:vAlign w:val="center"/>
          </w:tcPr>
          <w:p>
            <w:r>
              <w:rPr>
                <w:b/>
                <w:bCs/>
                <w:sz w:val="18"/>
                <w:szCs w:val="18"/>
              </w:rPr>
              <w:t xml:space="preserve">Total comercial (Categoría 1)</w:t>
            </w:r>
          </w:p>
        </w:tc>
        <w:tc>
          <w:tcPr>
            <w:tcW w:type="dxa" w:w="1400"/>
            <w:shd w:fill="EFF3F1" w:val="clear"/>
            <w:tcMar>
              <w:top w:type="dxa" w:w="60"/>
              <w:left w:type="dxa" w:w="100"/>
              <w:bottom w:type="dxa" w:w="60"/>
              <w:right w:type="dxa" w:w="100"/>
            </w:tcMar>
            <w:vAlign w:val="center"/>
          </w:tcPr>
          <w:p>
            <w:r>
              <w:rPr>
                <w:b/>
                <w:bCs/>
                <w:sz w:val="18"/>
                <w:szCs w:val="18"/>
              </w:rPr>
              <w:t xml:space="preserve">40%</w:t>
            </w:r>
          </w:p>
        </w:tc>
        <w:tc>
          <w:tcPr>
            <w:tcW w:type="dxa" w:w="4300"/>
            <w:shd w:fill="EFF3F1" w:val="clear"/>
            <w:tcMar>
              <w:top w:type="dxa" w:w="60"/>
              <w:left w:type="dxa" w:w="100"/>
              <w:bottom w:type="dxa" w:w="60"/>
              <w:right w:type="dxa" w:w="100"/>
            </w:tcMar>
            <w:vAlign w:val="center"/>
          </w:tcPr>
          <w:p>
            <w:r>
              <w:rPr>
                <w:b/>
                <w:bCs/>
                <w:sz w:val="18"/>
                <w:szCs w:val="18"/>
              </w:rPr>
              <w:t xml:space="preserve"/>
            </w:r>
          </w:p>
        </w:tc>
      </w:tr>
    </w:tbl>
    <w:p>
      <w:pPr>
        <w:spacing w:after="120"/>
      </w:pPr>
      <w:r>
        <w:rPr>
          <w:b w:val="false"/>
          <w:bCs w:val="false"/>
          <w:i/>
          <w:iCs/>
        </w:rPr>
        <w:t xml:space="preserve">Nota sobre insumos excluidos del análisis: la Minuta Confidencial de Negociación Interna (documento marcado "CONFIDENCIAL — NO DISTRIBUIR A OFERENTES NI INCORPORAR EN LAS BASES") no fue utilizada para calificar, comparar ni descalificar ninguna propuesta en este informe. Conforme al punto 7 de POL-ABA-01, sus lineamientos (techo de negociación, tolerancia de plazo, criterio de desempate alternativo) solo son aplicables, si procede, en la etapa de negociación posterior a la adjudicación con el oferente que resulte mejor evaluado, y no pueden comunicarse a los oferentes.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4"/>
        <w:szCs w:val="14"/>
      </w:rPr>
      <w:t xml:space="preserve">Página </w:t>
    </w:r>
    <w:r>
      <w:rPr>
        <w:color w:val="666666"/>
        <w:sz w:val="14"/>
        <w:szCs w:val="14"/>
      </w:rPr>
      <w:fldChar w:fldCharType="begin"/>
      <w:instrText xml:space="preserve">PAGE</w:instrText>
      <w:fldChar w:fldCharType="separate"/>
      <w:fldChar w:fldCharType="end"/>
    </w:r>
    <w:r>
      <w:rPr>
        <w:color w:val="666666"/>
        <w:sz w:val="14"/>
        <w:szCs w:val="14"/>
      </w:rPr>
      <w:t xml:space="preserve"> de </w:t>
    </w:r>
    <w:r>
      <w:rPr>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4"/>
        <w:szCs w:val="14"/>
      </w:rPr>
      <w:t xml:space="preserve">Licitación 128-2026 — Informe Final de Evaluación (BORRADOR)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50" w:before="300"/>
    </w:pPr>
    <w:rPr>
      <w:b/>
      <w:bCs/>
      <w:color w:val="1F4E3D"/>
      <w:sz w:val="28"/>
      <w:szCs w:val="28"/>
    </w:rPr>
  </w:style>
  <w:style w:type="paragraph" w:styleId="Heading2">
    <w:name w:val="Heading 2"/>
    <w:basedOn w:val="Normal"/>
    <w:next w:val="Normal"/>
    <w:pPr>
      <w:spacing w:after="120" w:before="250"/>
    </w:pPr>
    <w:rPr>
      <w:b/>
      <w:bCs/>
      <w:color w:val="1F4E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2026-09-07T02:13:44.426Z</dcterms:created>
  <dcterms:modified xsi:type="dcterms:W3CDTF">2026-09-07T02:13:44.426Z</dcterms:modified>
</cp:coreProperties>
</file>

<file path=docProps/custom.xml><?xml version="1.0" encoding="utf-8"?>
<Properties xmlns="http://schemas.openxmlformats.org/officeDocument/2006/custom-properties" xmlns:vt="http://schemas.openxmlformats.org/officeDocument/2006/docPropsVTypes"/>
</file>