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COMISIÓN PRESIDENCIAL PARA LA EVALUACIÓN DE HABITABILIDAD</w:t>
      </w:r>
    </w:p>
    <w:p>
      <w:pPr>
        <w:jc w:val="center"/>
      </w:pPr>
      <w:r>
        <w:rPr>
          <w:b/>
          <w:sz w:val="28"/>
        </w:rPr>
        <w:t>PROTOTIPO DE INFORME CONSOLIDADO — FASE II</w:t>
      </w:r>
    </w:p>
    <w:p>
      <w:pPr>
        <w:jc w:val="center"/>
      </w:pPr>
      <w:r>
        <w:rPr>
          <w:i/>
          <w:sz w:val="20"/>
        </w:rPr>
        <w:t>Versión didáctica 0.2 · 27/08/2026 · Guía Funvisis WRAP + capa Habitable/D-M · Caso ejemplo: Franco Mar</w:t>
      </w:r>
    </w:p>
    <w:p>
      <w:pPr>
        <w:pStyle w:val="Heading1"/>
      </w:pPr>
      <w:r>
        <w:t>Cómo usar este documento (léalo primero)</w:t>
      </w:r>
    </w:p>
    <w:p>
      <w:pPr>
        <w:pStyle w:val="ListBullet"/>
      </w:pPr>
      <w:r>
        <w:t>Parte I (secciones 0–11): explica cada bloque del informe como si fuera un curso corto.</w:t>
      </w:r>
    </w:p>
    <w:p>
      <w:pPr>
        <w:pStyle w:val="ListBullet"/>
      </w:pPr>
      <w:r>
        <w:t>Parte II (anexo): informe completo del Edificio Franco Mar ya redactado con la nueva estructura.</w:t>
      </w:r>
    </w:p>
    <w:p>
      <w:pPr>
        <w:pStyle w:val="ListBullet"/>
      </w:pPr>
      <w:r>
        <w:t>El Excel hermano «Plantilla ejecutiva informe consolidado Fase II» tiene los mismos campos en columnas A–B para vaciado digital.</w:t>
      </w:r>
    </w:p>
    <w:p>
      <w:pPr>
        <w:pStyle w:val="ListBullet"/>
      </w:pPr>
      <w:r>
        <w:t>Funvisis define el lenguaje técnico (daño + procedimientos VIG/COL/MAM). La capa Habitable/D-M define la gobernanza del caso.</w:t>
      </w:r>
    </w:p>
    <w:p>
      <w:pPr>
        <w:pStyle w:val="Heading1"/>
      </w:pPr>
      <w:r>
        <w:t>0. Mapa visual del informe (de arriba hacia abajo)</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4E79" w:val="clear"/>
          </w:tcPr>
          <w:p>
            <w:r>
              <w:rPr>
                <w:b/>
                <w:color w:val="FFFFFF"/>
                <w:sz w:val="18"/>
              </w:rPr>
              <w:t>Bloque</w:t>
            </w:r>
          </w:p>
        </w:tc>
        <w:tc>
          <w:tcPr>
            <w:tcW w:type="dxa" w:w="2436"/>
            <w:shd w:fill="1F4E79" w:val="clear"/>
          </w:tcPr>
          <w:p>
            <w:r>
              <w:rPr>
                <w:b/>
                <w:color w:val="FFFFFF"/>
                <w:sz w:val="18"/>
              </w:rPr>
              <w:t>Nombre</w:t>
            </w:r>
          </w:p>
        </w:tc>
        <w:tc>
          <w:tcPr>
            <w:tcW w:type="dxa" w:w="2436"/>
            <w:shd w:fill="1F4E79" w:val="clear"/>
          </w:tcPr>
          <w:p>
            <w:r>
              <w:rPr>
                <w:b/>
                <w:color w:val="FFFFFF"/>
                <w:sz w:val="18"/>
              </w:rPr>
              <w:t>¿Obligatorio MVP?</w:t>
            </w:r>
          </w:p>
        </w:tc>
        <w:tc>
          <w:tcPr>
            <w:tcW w:type="dxa" w:w="2436"/>
            <w:shd w:fill="1F4E79" w:val="clear"/>
          </w:tcPr>
          <w:p>
            <w:r>
              <w:rPr>
                <w:b/>
                <w:color w:val="FFFFFF"/>
                <w:sz w:val="18"/>
              </w:rPr>
              <w:t>Analogía simple</w:t>
            </w:r>
          </w:p>
        </w:tc>
      </w:tr>
      <w:tr>
        <w:tc>
          <w:tcPr>
            <w:tcW w:type="dxa" w:w="2436"/>
          </w:tcPr>
          <w:p>
            <w:r>
              <w:rPr>
                <w:sz w:val="18"/>
              </w:rPr>
              <w:t>A0</w:t>
            </w:r>
          </w:p>
        </w:tc>
        <w:tc>
          <w:tcPr>
            <w:tcW w:type="dxa" w:w="2436"/>
          </w:tcPr>
          <w:p>
            <w:r>
              <w:rPr>
                <w:sz w:val="18"/>
              </w:rPr>
              <w:t>Precarga Habitable + ranking + validación</w:t>
            </w:r>
          </w:p>
        </w:tc>
        <w:tc>
          <w:tcPr>
            <w:tcW w:type="dxa" w:w="2436"/>
          </w:tcPr>
          <w:p>
            <w:r>
              <w:rPr>
                <w:sz w:val="18"/>
              </w:rPr>
              <w:t>Sí</w:t>
            </w:r>
          </w:p>
        </w:tc>
        <w:tc>
          <w:tcPr>
            <w:tcW w:type="dxa" w:w="2436"/>
          </w:tcPr>
          <w:p>
            <w:r>
              <w:rPr>
                <w:sz w:val="18"/>
              </w:rPr>
              <w:t>Lo que el sistema ya sabía antes de llegar</w:t>
            </w:r>
          </w:p>
        </w:tc>
      </w:tr>
      <w:tr>
        <w:tc>
          <w:tcPr>
            <w:tcW w:type="dxa" w:w="2436"/>
          </w:tcPr>
          <w:p>
            <w:r>
              <w:rPr>
                <w:sz w:val="18"/>
              </w:rPr>
              <w:t>A</w:t>
            </w:r>
          </w:p>
        </w:tc>
        <w:tc>
          <w:tcPr>
            <w:tcW w:type="dxa" w:w="2436"/>
          </w:tcPr>
          <w:p>
            <w:r>
              <w:rPr>
                <w:sz w:val="18"/>
              </w:rPr>
              <w:t>Datos del inmueble (Funvisis)</w:t>
            </w:r>
          </w:p>
        </w:tc>
        <w:tc>
          <w:tcPr>
            <w:tcW w:type="dxa" w:w="2436"/>
          </w:tcPr>
          <w:p>
            <w:r>
              <w:rPr>
                <w:sz w:val="18"/>
              </w:rPr>
              <w:t>Sí</w:t>
            </w:r>
          </w:p>
        </w:tc>
        <w:tc>
          <w:tcPr>
            <w:tcW w:type="dxa" w:w="2436"/>
          </w:tcPr>
          <w:p>
            <w:r>
              <w:rPr>
                <w:sz w:val="18"/>
              </w:rPr>
              <w:t>Ficha de identidad en sitio</w:t>
            </w:r>
          </w:p>
        </w:tc>
      </w:tr>
      <w:tr>
        <w:tc>
          <w:tcPr>
            <w:tcW w:type="dxa" w:w="2436"/>
          </w:tcPr>
          <w:p>
            <w:r>
              <w:rPr>
                <w:sz w:val="18"/>
              </w:rPr>
              <w:t>B</w:t>
            </w:r>
          </w:p>
        </w:tc>
        <w:tc>
          <w:tcPr>
            <w:tcW w:type="dxa" w:w="2436"/>
          </w:tcPr>
          <w:p>
            <w:r>
              <w:rPr>
                <w:sz w:val="18"/>
              </w:rPr>
              <w:t>Descripción estructural</w:t>
            </w:r>
          </w:p>
        </w:tc>
        <w:tc>
          <w:tcPr>
            <w:tcW w:type="dxa" w:w="2436"/>
          </w:tcPr>
          <w:p>
            <w:r>
              <w:rPr>
                <w:sz w:val="18"/>
              </w:rPr>
              <w:t>Sí (subset)</w:t>
            </w:r>
          </w:p>
        </w:tc>
        <w:tc>
          <w:tcPr>
            <w:tcW w:type="dxa" w:w="2436"/>
          </w:tcPr>
          <w:p>
            <w:r>
              <w:rPr>
                <w:sz w:val="18"/>
              </w:rPr>
              <w:t>Cómo está construido el edificio</w:t>
            </w:r>
          </w:p>
        </w:tc>
      </w:tr>
      <w:tr>
        <w:tc>
          <w:tcPr>
            <w:tcW w:type="dxa" w:w="2436"/>
          </w:tcPr>
          <w:p>
            <w:r>
              <w:rPr>
                <w:sz w:val="18"/>
              </w:rPr>
              <w:t>C</w:t>
            </w:r>
          </w:p>
        </w:tc>
        <w:tc>
          <w:tcPr>
            <w:tcW w:type="dxa" w:w="2436"/>
          </w:tcPr>
          <w:p>
            <w:r>
              <w:rPr>
                <w:sz w:val="18"/>
              </w:rPr>
              <w:t>Daño estructural detallado</w:t>
            </w:r>
          </w:p>
        </w:tc>
        <w:tc>
          <w:tcPr>
            <w:tcW w:type="dxa" w:w="2436"/>
          </w:tcPr>
          <w:p>
            <w:r>
              <w:rPr>
                <w:sz w:val="18"/>
              </w:rPr>
              <w:t>Sí</w:t>
            </w:r>
          </w:p>
        </w:tc>
        <w:tc>
          <w:tcPr>
            <w:tcW w:type="dxa" w:w="2436"/>
          </w:tcPr>
          <w:p>
            <w:r>
              <w:rPr>
                <w:sz w:val="18"/>
              </w:rPr>
              <w:t>Qué falló en vigas/columnas/muros</w:t>
            </w:r>
          </w:p>
        </w:tc>
      </w:tr>
      <w:tr>
        <w:tc>
          <w:tcPr>
            <w:tcW w:type="dxa" w:w="2436"/>
          </w:tcPr>
          <w:p>
            <w:r>
              <w:rPr>
                <w:sz w:val="18"/>
              </w:rPr>
              <w:t>D</w:t>
            </w:r>
          </w:p>
        </w:tc>
        <w:tc>
          <w:tcPr>
            <w:tcW w:type="dxa" w:w="2436"/>
          </w:tcPr>
          <w:p>
            <w:r>
              <w:rPr>
                <w:sz w:val="18"/>
              </w:rPr>
              <w:t>Daño mampostería</w:t>
            </w:r>
          </w:p>
        </w:tc>
        <w:tc>
          <w:tcPr>
            <w:tcW w:type="dxa" w:w="2436"/>
          </w:tcPr>
          <w:p>
            <w:r>
              <w:rPr>
                <w:sz w:val="18"/>
              </w:rPr>
              <w:t>Sí si aplica</w:t>
            </w:r>
          </w:p>
        </w:tc>
        <w:tc>
          <w:tcPr>
            <w:tcW w:type="dxa" w:w="2436"/>
          </w:tcPr>
          <w:p>
            <w:r>
              <w:rPr>
                <w:sz w:val="18"/>
              </w:rPr>
              <w:t>Fachadas, tabiques, muros no portantes</w:t>
            </w:r>
          </w:p>
        </w:tc>
      </w:tr>
      <w:tr>
        <w:tc>
          <w:tcPr>
            <w:tcW w:type="dxa" w:w="2436"/>
          </w:tcPr>
          <w:p>
            <w:r>
              <w:rPr>
                <w:sz w:val="18"/>
              </w:rPr>
              <w:t>E</w:t>
            </w:r>
          </w:p>
        </w:tc>
        <w:tc>
          <w:tcPr>
            <w:tcW w:type="dxa" w:w="2436"/>
          </w:tcPr>
          <w:p>
            <w:r>
              <w:rPr>
                <w:sz w:val="18"/>
              </w:rPr>
              <w:t>Procedimientos sugeridos VIG/COL/MAM</w:t>
            </w:r>
          </w:p>
        </w:tc>
        <w:tc>
          <w:tcPr>
            <w:tcW w:type="dxa" w:w="2436"/>
          </w:tcPr>
          <w:p>
            <w:r>
              <w:rPr>
                <w:sz w:val="18"/>
              </w:rPr>
              <w:t>Sí si D2</w:t>
            </w:r>
          </w:p>
        </w:tc>
        <w:tc>
          <w:tcPr>
            <w:tcW w:type="dxa" w:w="2436"/>
          </w:tcPr>
          <w:p>
            <w:r>
              <w:rPr>
                <w:sz w:val="18"/>
              </w:rPr>
              <w:t>Qué técnica de reparación corresponde</w:t>
            </w:r>
          </w:p>
        </w:tc>
      </w:tr>
      <w:tr>
        <w:tc>
          <w:tcPr>
            <w:tcW w:type="dxa" w:w="2436"/>
          </w:tcPr>
          <w:p>
            <w:r>
              <w:rPr>
                <w:sz w:val="18"/>
              </w:rPr>
              <w:t>F</w:t>
            </w:r>
          </w:p>
        </w:tc>
        <w:tc>
          <w:tcPr>
            <w:tcW w:type="dxa" w:w="2436"/>
          </w:tcPr>
          <w:p>
            <w:r>
              <w:rPr>
                <w:sz w:val="18"/>
              </w:rPr>
              <w:t>Decisión de control D1–D5 + M1–M4</w:t>
            </w:r>
          </w:p>
        </w:tc>
        <w:tc>
          <w:tcPr>
            <w:tcW w:type="dxa" w:w="2436"/>
          </w:tcPr>
          <w:p>
            <w:r>
              <w:rPr>
                <w:sz w:val="18"/>
              </w:rPr>
              <w:t>Sí</w:t>
            </w:r>
          </w:p>
        </w:tc>
        <w:tc>
          <w:tcPr>
            <w:tcW w:type="dxa" w:w="2436"/>
          </w:tcPr>
          <w:p>
            <w:r>
              <w:rPr>
                <w:sz w:val="18"/>
              </w:rPr>
              <w:t>Demoler / reparar / estudiar / escombros / vigilar</w:t>
            </w:r>
          </w:p>
        </w:tc>
      </w:tr>
      <w:tr>
        <w:tc>
          <w:tcPr>
            <w:tcW w:type="dxa" w:w="2436"/>
          </w:tcPr>
          <w:p>
            <w:r>
              <w:rPr>
                <w:sz w:val="18"/>
              </w:rPr>
              <w:t>G</w:t>
            </w:r>
          </w:p>
        </w:tc>
        <w:tc>
          <w:tcPr>
            <w:tcW w:type="dxa" w:w="2436"/>
          </w:tcPr>
          <w:p>
            <w:r>
              <w:rPr>
                <w:sz w:val="18"/>
              </w:rPr>
              <w:t>Estimación referencial USD</w:t>
            </w:r>
          </w:p>
        </w:tc>
        <w:tc>
          <w:tcPr>
            <w:tcW w:type="dxa" w:w="2436"/>
          </w:tcPr>
          <w:p>
            <w:r>
              <w:rPr>
                <w:sz w:val="18"/>
              </w:rPr>
              <w:t>No (piloto)</w:t>
            </w:r>
          </w:p>
        </w:tc>
        <w:tc>
          <w:tcPr>
            <w:tcW w:type="dxa" w:w="2436"/>
          </w:tcPr>
          <w:p>
            <w:r>
              <w:rPr>
                <w:sz w:val="18"/>
              </w:rPr>
              <w:t>Orden de magnitud, no presupuesto</w:t>
            </w:r>
          </w:p>
        </w:tc>
      </w:tr>
      <w:tr>
        <w:tc>
          <w:tcPr>
            <w:tcW w:type="dxa" w:w="2436"/>
          </w:tcPr>
          <w:p>
            <w:r>
              <w:rPr>
                <w:sz w:val="18"/>
              </w:rPr>
              <w:t>H</w:t>
            </w:r>
          </w:p>
        </w:tc>
        <w:tc>
          <w:tcPr>
            <w:tcW w:type="dxa" w:w="2436"/>
          </w:tcPr>
          <w:p>
            <w:r>
              <w:rPr>
                <w:sz w:val="18"/>
              </w:rPr>
              <w:t>Fotos, firmas, resumen ejecutivo</w:t>
            </w:r>
          </w:p>
        </w:tc>
        <w:tc>
          <w:tcPr>
            <w:tcW w:type="dxa" w:w="2436"/>
          </w:tcPr>
          <w:p>
            <w:r>
              <w:rPr>
                <w:sz w:val="18"/>
              </w:rPr>
              <w:t>Sí</w:t>
            </w:r>
          </w:p>
        </w:tc>
        <w:tc>
          <w:tcPr>
            <w:tcW w:type="dxa" w:w="2436"/>
          </w:tcPr>
          <w:p>
            <w:r>
              <w:rPr>
                <w:sz w:val="18"/>
              </w:rPr>
              <w:t>Evidencia y cierre para mesa de trabajo</w:t>
            </w:r>
          </w:p>
        </w:tc>
      </w:tr>
    </w:tbl>
    <w:p/>
    <w:p>
      <w:pPr>
        <w:pStyle w:val="Heading1"/>
      </w:pPr>
      <w:r>
        <w:t>Parte I — Guía didáctica bloque por bloque</w:t>
      </w:r>
    </w:p>
    <w:p>
      <w:pPr>
        <w:pStyle w:val="Heading3"/>
      </w:pPr>
      <w:r>
        <w:t>Bloque A0 — Precarga y validación</w:t>
      </w:r>
    </w:p>
    <w:p>
      <w:r>
        <w:rPr>
          <w:b w:val="0"/>
          <w:sz w:val="22"/>
        </w:rPr>
        <w:t>Para qué sirve: Evitar empezar de cero. El inspector confirma o corrige lo que Habitable y el ranking ya trajeron.</w:t>
      </w:r>
    </w:p>
    <w:p>
      <w:r>
        <w:rPr>
          <w:b w:val="0"/>
          <w:sz w:val="22"/>
        </w:rPr>
        <w:t>Quién lo llena: Sistema (automático) + inspector (validación en campo).</w:t>
      </w:r>
    </w:p>
    <w:p>
      <w:r>
        <w:rPr>
          <w:b w:val="0"/>
          <w:sz w:val="22"/>
        </w:rPr>
        <w:t>Ejemplo rápido: «Sí, es Franco Mar; ROJO confirmado; corrijo sótanos de 1 a 2».</w:t>
      </w:r>
    </w:p>
    <w:p>
      <w:pPr>
        <w:pStyle w:val="ListBullet"/>
      </w:pPr>
      <w:r>
        <w:t>Campos típicos: ID Habitable, certificado, etiqueta Fase 1, score, banda, puesto en cola.</w:t>
      </w:r>
    </w:p>
    <w:p>
      <w:pPr>
        <w:pStyle w:val="ListBullet"/>
      </w:pPr>
      <w:r>
        <w:t>Validación obligatoria: ¿edificio correcto? ¿ROJO se mantiene? ¿qué se corrige?</w:t>
      </w:r>
    </w:p>
    <w:p>
      <w:pPr>
        <w:pStyle w:val="ListBullet"/>
      </w:pPr>
      <w:r>
        <w:t>Regla de oro: el ranking prioriza la visita; NO dictamina demolición por sí solo.</w:t>
      </w:r>
    </w:p>
    <w:p>
      <w:pPr>
        <w:pStyle w:val="Heading3"/>
      </w:pPr>
      <w:r>
        <w:t>Bloque A — Datos del inmueble</w:t>
      </w:r>
    </w:p>
    <w:p>
      <w:r>
        <w:rPr>
          <w:b w:val="0"/>
          <w:sz w:val="22"/>
        </w:rPr>
        <w:t>Para qué sirve: Identificar formalmente el caso para trazabilidad legal y operativa.</w:t>
      </w:r>
    </w:p>
    <w:p>
      <w:r>
        <w:rPr>
          <w:b w:val="0"/>
          <w:sz w:val="22"/>
        </w:rPr>
        <w:t>Quién lo llena: Inspector + contacto en sitio.</w:t>
      </w:r>
    </w:p>
    <w:p>
      <w:r>
        <w:rPr>
          <w:b w:val="0"/>
          <w:sz w:val="22"/>
        </w:rPr>
        <w:t>Ejemplo rápido: Dirección Avenida José María España; UTM/GPS de control; uso vivienda multifamiliar.</w:t>
      </w:r>
    </w:p>
    <w:p>
      <w:pPr>
        <w:pStyle w:val="Heading3"/>
      </w:pPr>
      <w:r>
        <w:t>Bloque B — Descripción estructural</w:t>
      </w:r>
    </w:p>
    <w:p>
      <w:r>
        <w:rPr>
          <w:b w:val="0"/>
          <w:sz w:val="22"/>
        </w:rPr>
        <w:t>Para qué sirve: Contextualizar el daño: no es lo mismo un edificio de 2 pisos que una torre de 12.</w:t>
      </w:r>
    </w:p>
    <w:p>
      <w:r>
        <w:rPr>
          <w:b w:val="0"/>
          <w:sz w:val="22"/>
        </w:rPr>
        <w:t>Quién lo llena: Inspector estructural.</w:t>
      </w:r>
    </w:p>
    <w:p>
      <w:r>
        <w:rPr>
          <w:b w:val="0"/>
          <w:sz w:val="22"/>
        </w:rPr>
        <w:t>Ejemplo rápido: Pórticos CA ortogonales; 12 pisos + 2 sótanos; ~780 m² planta; irregularidades si las hay.</w:t>
      </w:r>
    </w:p>
    <w:p>
      <w:pPr>
        <w:pStyle w:val="Heading3"/>
      </w:pPr>
      <w:r>
        <w:t>Bloque C — Daño estructural (Funvisis)</w:t>
      </w:r>
    </w:p>
    <w:p>
      <w:r>
        <w:rPr>
          <w:b w:val="0"/>
          <w:sz w:val="22"/>
        </w:rPr>
        <w:t>Para qué sirve: Homologar cómo se describe el daño: mecanismo + nivel leve/moderado/severo + fotos.</w:t>
      </w:r>
    </w:p>
    <w:p>
      <w:r>
        <w:rPr>
          <w:b w:val="0"/>
          <w:sz w:val="22"/>
        </w:rPr>
        <w:t>Quién lo llena: Inspector estructural.</w:t>
      </w:r>
    </w:p>
    <w:p>
      <w:r>
        <w:rPr>
          <w:b w:val="0"/>
          <w:sz w:val="22"/>
        </w:rPr>
        <w:t>Ejemplo rápido: Columnas Nivel 1: compresión, severo, &gt;50% núcleo perdido; vigas: corte diagonal en 5 niveles.</w:t>
      </w:r>
    </w:p>
    <w:p>
      <w:r>
        <w:rPr>
          <w:b w:val="0"/>
          <w:sz w:val="22"/>
        </w:rPr>
        <w:t>Por cada familia (vigas / columnas / muros-pantalla) repetir: mecanismo → nivel → ubicación → ≥2 fotos → párrafo diagnóstico. Añadir campos puente para tablero: piso crítico, % columnas graves, inclinación.</w:t>
      </w:r>
    </w:p>
    <w:p>
      <w:pPr>
        <w:pStyle w:val="Heading3"/>
      </w:pPr>
      <w:r>
        <w:t>Bloque D — Mampostería</w:t>
      </w:r>
    </w:p>
    <w:p>
      <w:r>
        <w:rPr>
          <w:b w:val="0"/>
          <w:sz w:val="22"/>
        </w:rPr>
        <w:t>Para qué sirve: Registrar daño en cerramientos y riesgo de volcamiento/fachada.</w:t>
      </w:r>
    </w:p>
    <w:p>
      <w:r>
        <w:rPr>
          <w:b w:val="0"/>
          <w:sz w:val="22"/>
        </w:rPr>
        <w:t>Quién lo llena: Inspector.</w:t>
      </w:r>
    </w:p>
    <w:p>
      <w:r>
        <w:rPr>
          <w:b w:val="0"/>
          <w:sz w:val="22"/>
        </w:rPr>
        <w:t>Ejemplo rápido: Mampostería comprimida en PB por reducción de entrepiso; nivel severo; foto fachada + detalle.</w:t>
      </w:r>
    </w:p>
    <w:p>
      <w:pPr>
        <w:pStyle w:val="Heading3"/>
      </w:pPr>
      <w:r>
        <w:t>Bloque E — Procedimientos VIG/COL/MAM</w:t>
      </w:r>
    </w:p>
    <w:p>
      <w:r>
        <w:rPr>
          <w:b w:val="0"/>
          <w:sz w:val="22"/>
        </w:rPr>
        <w:t>Para qué sirve: Vincular hallazgo con lineamiento técnico (Guía Funvisis). Obligatorio si la decisión es reparar (D2).</w:t>
      </w:r>
    </w:p>
    <w:p>
      <w:r>
        <w:rPr>
          <w:b w:val="0"/>
          <w:sz w:val="22"/>
        </w:rPr>
        <w:t>Quién lo llena: Inspector marca X en alternativas que correspondan al diagnóstico.</w:t>
      </w:r>
    </w:p>
    <w:p>
      <w:r>
        <w:rPr>
          <w:b w:val="0"/>
          <w:sz w:val="22"/>
        </w:rPr>
        <w:t>Ejemplo rápido: Franco Mar (demolición): COL fuera de alcance / condición crítica — no aplica reparación local.</w:t>
      </w:r>
    </w:p>
    <w:p>
      <w:pPr>
        <w:pStyle w:val="Heading3"/>
      </w:pPr>
      <w:r>
        <w:t>Bloque F — Decisión D y magnitud M</w:t>
      </w:r>
    </w:p>
    <w:p>
      <w:r>
        <w:rPr>
          <w:b w:val="0"/>
          <w:sz w:val="22"/>
        </w:rPr>
        <w:t>Para qué sirve: Cerrar el caso para mesa técnica: conteos demoler/reparar dependen de este código.</w:t>
      </w:r>
    </w:p>
    <w:p>
      <w:r>
        <w:rPr>
          <w:b w:val="0"/>
          <w:sz w:val="22"/>
        </w:rPr>
        <w:t>Quién lo llena: Inspector propone; supervisor aprueba.</w:t>
      </w:r>
    </w:p>
    <w:p>
      <w:r>
        <w:rPr>
          <w:b w:val="0"/>
          <w:sz w:val="22"/>
        </w:rPr>
        <w:t>Ejemplo rápido: D1 Demoler + prioridad inmediata + medidas de exclusión.</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Código D</w:t>
            </w:r>
          </w:p>
        </w:tc>
        <w:tc>
          <w:tcPr>
            <w:tcW w:type="dxa" w:w="3249"/>
            <w:shd w:fill="1F4E79" w:val="clear"/>
          </w:tcPr>
          <w:p>
            <w:r>
              <w:rPr>
                <w:b/>
                <w:color w:val="FFFFFF"/>
                <w:sz w:val="18"/>
              </w:rPr>
              <w:t>Significado</w:t>
            </w:r>
          </w:p>
        </w:tc>
        <w:tc>
          <w:tcPr>
            <w:tcW w:type="dxa" w:w="3249"/>
            <w:shd w:fill="1F4E79" w:val="clear"/>
          </w:tcPr>
          <w:p>
            <w:r>
              <w:rPr>
                <w:b/>
                <w:color w:val="FFFFFF"/>
                <w:sz w:val="18"/>
              </w:rPr>
              <w:t>Cuándo usarlo</w:t>
            </w:r>
          </w:p>
        </w:tc>
      </w:tr>
      <w:tr>
        <w:tc>
          <w:tcPr>
            <w:tcW w:type="dxa" w:w="3249"/>
          </w:tcPr>
          <w:p>
            <w:r>
              <w:rPr>
                <w:sz w:val="18"/>
              </w:rPr>
              <w:t>D1</w:t>
            </w:r>
          </w:p>
        </w:tc>
        <w:tc>
          <w:tcPr>
            <w:tcW w:type="dxa" w:w="3249"/>
          </w:tcPr>
          <w:p>
            <w:r>
              <w:rPr>
                <w:sz w:val="18"/>
              </w:rPr>
              <w:t>Demoler</w:t>
            </w:r>
          </w:p>
        </w:tc>
        <w:tc>
          <w:tcPr>
            <w:tcW w:type="dxa" w:w="3249"/>
          </w:tcPr>
          <w:p>
            <w:r>
              <w:rPr>
                <w:sz w:val="18"/>
              </w:rPr>
              <w:t>Reparación inviable o riesgo inaceptable (Franco Mar)</w:t>
            </w:r>
          </w:p>
        </w:tc>
      </w:tr>
      <w:tr>
        <w:tc>
          <w:tcPr>
            <w:tcW w:type="dxa" w:w="3249"/>
          </w:tcPr>
          <w:p>
            <w:r>
              <w:rPr>
                <w:sz w:val="18"/>
              </w:rPr>
              <w:t>D2</w:t>
            </w:r>
          </w:p>
        </w:tc>
        <w:tc>
          <w:tcPr>
            <w:tcW w:type="dxa" w:w="3249"/>
          </w:tcPr>
          <w:p>
            <w:r>
              <w:rPr>
                <w:sz w:val="18"/>
              </w:rPr>
              <w:t>Reparar</w:t>
            </w:r>
          </w:p>
        </w:tc>
        <w:tc>
          <w:tcPr>
            <w:tcW w:type="dxa" w:w="3249"/>
          </w:tcPr>
          <w:p>
            <w:r>
              <w:rPr>
                <w:sz w:val="18"/>
              </w:rPr>
              <w:t>Daño grave pero localizable; obligatorio M1–M4</w:t>
            </w:r>
          </w:p>
        </w:tc>
      </w:tr>
      <w:tr>
        <w:tc>
          <w:tcPr>
            <w:tcW w:type="dxa" w:w="3249"/>
          </w:tcPr>
          <w:p>
            <w:r>
              <w:rPr>
                <w:sz w:val="18"/>
              </w:rPr>
              <w:t>D3</w:t>
            </w:r>
          </w:p>
        </w:tc>
        <w:tc>
          <w:tcPr>
            <w:tcW w:type="dxa" w:w="3249"/>
          </w:tcPr>
          <w:p>
            <w:r>
              <w:rPr>
                <w:sz w:val="18"/>
              </w:rPr>
              <w:t>Estudios</w:t>
            </w:r>
          </w:p>
        </w:tc>
        <w:tc>
          <w:tcPr>
            <w:tcW w:type="dxa" w:w="3249"/>
          </w:tcPr>
          <w:p>
            <w:r>
              <w:rPr>
                <w:sz w:val="18"/>
              </w:rPr>
              <w:t>Faltan ensayos/modelo antes de decidir</w:t>
            </w:r>
          </w:p>
        </w:tc>
      </w:tr>
      <w:tr>
        <w:tc>
          <w:tcPr>
            <w:tcW w:type="dxa" w:w="3249"/>
          </w:tcPr>
          <w:p>
            <w:r>
              <w:rPr>
                <w:sz w:val="18"/>
              </w:rPr>
              <w:t>D4</w:t>
            </w:r>
          </w:p>
        </w:tc>
        <w:tc>
          <w:tcPr>
            <w:tcW w:type="dxa" w:w="3249"/>
          </w:tcPr>
          <w:p>
            <w:r>
              <w:rPr>
                <w:sz w:val="18"/>
              </w:rPr>
              <w:t>Escombros</w:t>
            </w:r>
          </w:p>
        </w:tc>
        <w:tc>
          <w:tcPr>
            <w:tcW w:type="dxa" w:w="3249"/>
          </w:tcPr>
          <w:p>
            <w:r>
              <w:rPr>
                <w:sz w:val="18"/>
              </w:rPr>
              <w:t>Ya colapsó; control de remoción</w:t>
            </w:r>
          </w:p>
        </w:tc>
      </w:tr>
      <w:tr>
        <w:tc>
          <w:tcPr>
            <w:tcW w:type="dxa" w:w="3249"/>
          </w:tcPr>
          <w:p>
            <w:r>
              <w:rPr>
                <w:sz w:val="18"/>
              </w:rPr>
              <w:t>D5</w:t>
            </w:r>
          </w:p>
        </w:tc>
        <w:tc>
          <w:tcPr>
            <w:tcW w:type="dxa" w:w="3249"/>
          </w:tcPr>
          <w:p>
            <w:r>
              <w:rPr>
                <w:sz w:val="18"/>
              </w:rPr>
              <w:t>Vigilar</w:t>
            </w:r>
          </w:p>
        </w:tc>
        <w:tc>
          <w:tcPr>
            <w:tcW w:type="dxa" w:w="3249"/>
          </w:tcPr>
          <w:p>
            <w:r>
              <w:rPr>
                <w:sz w:val="18"/>
              </w:rPr>
              <w:t>Inhabitable pero sin demolición inmediata</w:t>
            </w:r>
          </w:p>
        </w:tc>
      </w:tr>
    </w:tbl>
    <w:p/>
    <w:p>
      <w:pPr>
        <w:pStyle w:val="Heading3"/>
      </w:pPr>
      <w:r>
        <w:t>Bloque H — Cierre</w:t>
      </w:r>
    </w:p>
    <w:p>
      <w:r>
        <w:rPr>
          <w:b w:val="0"/>
          <w:sz w:val="22"/>
        </w:rPr>
        <w:t>Para qué sirve: Dejar evidencia y un párrafo que un coordinador pueda leer en 30 segundos.</w:t>
      </w:r>
    </w:p>
    <w:p>
      <w:r>
        <w:rPr>
          <w:b w:val="0"/>
          <w:sz w:val="22"/>
        </w:rPr>
        <w:t>Quién lo llena: Inspector + supervisor (firmas CIV).</w:t>
      </w:r>
    </w:p>
    <w:p>
      <w:r>
        <w:rPr>
          <w:b w:val="0"/>
          <w:sz w:val="22"/>
        </w:rPr>
        <w:t>Ejemplo rápido: Resumen ejecutivo de 10 líneas + registro fotográfico referenciado.</w:t>
      </w:r>
    </w:p>
    <w:p>
      <w:pPr>
        <w:pStyle w:val="Heading1"/>
      </w:pPr>
      <w:r>
        <w:t>Parte II — ANEXO: INFORME COMPLETO EJEMPLO (EDIFICIO FRANCO MAR)</w:t>
      </w:r>
    </w:p>
    <w:p>
      <w:r>
        <w:rPr>
          <w:b/>
          <w:sz w:val="22"/>
        </w:rPr>
        <w:t>El texto siguiente es una consolidación didáctica basada en el informe técnico del 11/08/2026 (DGPS_INF-F2-Tanaguarena/11/08/2026-001) y en la precarga Habitable (ID 171818). Muestra cómo se ve el informe cuando se aplican los bloques A0–H.</w:t>
      </w:r>
    </w:p>
    <w:p>
      <w:r>
        <w:br w:type="page"/>
      </w:r>
    </w:p>
    <w:p>
      <w:pPr>
        <w:pStyle w:val="Heading2"/>
      </w:pPr>
      <w:r>
        <w:t>PORTADA</w:t>
      </w:r>
    </w:p>
    <w:p>
      <w:pPr>
        <w:pStyle w:val="ListBullet"/>
      </w:pPr>
      <w:r>
        <w:t>República Bolivariana de Venezuela — Comisión Presidencial para la Evaluación de Habitabilidad</w:t>
      </w:r>
    </w:p>
    <w:p>
      <w:pPr>
        <w:pStyle w:val="ListBullet"/>
      </w:pPr>
      <w:r>
        <w:t>Inspección detallada Fase II — Edificio FRANCO MAR</w:t>
      </w:r>
    </w:p>
    <w:p>
      <w:pPr>
        <w:pStyle w:val="ListBullet"/>
      </w:pPr>
      <w:r>
        <w:t>Eventos sísmicos del 24 de junio de 2026 — Caraballeda / Tanaguarenas, La Guaira</w:t>
      </w:r>
    </w:p>
    <w:p>
      <w:pPr>
        <w:pStyle w:val="ListBullet"/>
      </w:pPr>
      <w:r>
        <w:t>Referencia informe: DGPS_INF-F2-Tanaguarena/11/08/2026-001</w:t>
      </w:r>
    </w:p>
    <w:p>
      <w:pPr>
        <w:pStyle w:val="ListBullet"/>
      </w:pPr>
      <w:r>
        <w:t>Fecha visita detallada: 11/08/2026</w:t>
      </w:r>
    </w:p>
    <w:p>
      <w:pPr>
        <w:pStyle w:val="ListBullet"/>
      </w:pPr>
      <w:r>
        <w:t>Evaluadores: Ing. Luis Burgos (C.I. 4357927); Ing. José García (C.I. 6913241)</w:t>
      </w:r>
    </w:p>
    <w:p>
      <w:pPr>
        <w:pStyle w:val="ListBullet"/>
      </w:pPr>
      <w:r>
        <w:t>Supervisión institucional: Ing. Aura Quintero</w:t>
      </w:r>
    </w:p>
    <w:p>
      <w:pPr>
        <w:pStyle w:val="Heading2"/>
      </w:pPr>
      <w:r>
        <w:t>A0 — Precarga Habitable y ranking</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Campo</w:t>
            </w:r>
          </w:p>
        </w:tc>
        <w:tc>
          <w:tcPr>
            <w:tcW w:type="dxa" w:w="3249"/>
            <w:shd w:fill="1F4E79" w:val="clear"/>
          </w:tcPr>
          <w:p>
            <w:r>
              <w:rPr>
                <w:b/>
                <w:color w:val="FFFFFF"/>
                <w:sz w:val="18"/>
              </w:rPr>
              <w:t>Valor precargado</w:t>
            </w:r>
          </w:p>
        </w:tc>
        <w:tc>
          <w:tcPr>
            <w:tcW w:type="dxa" w:w="3249"/>
            <w:shd w:fill="1F4E79" w:val="clear"/>
          </w:tcPr>
          <w:p>
            <w:r>
              <w:rPr>
                <w:b/>
                <w:color w:val="FFFFFF"/>
                <w:sz w:val="18"/>
              </w:rPr>
              <w:t>Validación visita 2</w:t>
            </w:r>
          </w:p>
        </w:tc>
      </w:tr>
      <w:tr>
        <w:tc>
          <w:tcPr>
            <w:tcW w:type="dxa" w:w="3249"/>
          </w:tcPr>
          <w:p>
            <w:r>
              <w:rPr>
                <w:sz w:val="18"/>
              </w:rPr>
              <w:t>ID Habitable</w:t>
            </w:r>
          </w:p>
        </w:tc>
        <w:tc>
          <w:tcPr>
            <w:tcW w:type="dxa" w:w="3249"/>
          </w:tcPr>
          <w:p>
            <w:r>
              <w:rPr>
                <w:sz w:val="18"/>
              </w:rPr>
              <w:t>171818</w:t>
            </w:r>
          </w:p>
        </w:tc>
        <w:tc>
          <w:tcPr>
            <w:tcW w:type="dxa" w:w="3249"/>
          </w:tcPr>
          <w:p>
            <w:r>
              <w:rPr>
                <w:sz w:val="18"/>
              </w:rPr>
              <w:t>Correcto — es Franco Mar / Francomar</w:t>
            </w:r>
          </w:p>
        </w:tc>
      </w:tr>
      <w:tr>
        <w:tc>
          <w:tcPr>
            <w:tcW w:type="dxa" w:w="3249"/>
          </w:tcPr>
          <w:p>
            <w:r>
              <w:rPr>
                <w:sz w:val="18"/>
              </w:rPr>
              <w:t>Certificado</w:t>
            </w:r>
          </w:p>
        </w:tc>
        <w:tc>
          <w:tcPr>
            <w:tcW w:type="dxa" w:w="3249"/>
          </w:tcPr>
          <w:p>
            <w:r>
              <w:rPr>
                <w:sz w:val="18"/>
              </w:rPr>
              <w:t>73420200720261338</w:t>
            </w:r>
          </w:p>
        </w:tc>
        <w:tc>
          <w:tcPr>
            <w:tcW w:type="dxa" w:w="3249"/>
          </w:tcPr>
          <w:p>
            <w:r>
              <w:rPr>
                <w:sz w:val="18"/>
              </w:rPr>
              <w:t>Correcto</w:t>
            </w:r>
          </w:p>
        </w:tc>
      </w:tr>
      <w:tr>
        <w:tc>
          <w:tcPr>
            <w:tcW w:type="dxa" w:w="3249"/>
          </w:tcPr>
          <w:p>
            <w:r>
              <w:rPr>
                <w:sz w:val="18"/>
              </w:rPr>
              <w:t>Etiqueta Fase 1</w:t>
            </w:r>
          </w:p>
        </w:tc>
        <w:tc>
          <w:tcPr>
            <w:tcW w:type="dxa" w:w="3249"/>
          </w:tcPr>
          <w:p>
            <w:r>
              <w:rPr>
                <w:sz w:val="18"/>
              </w:rPr>
              <w:t>ROJO (20/07/2026)</w:t>
            </w:r>
          </w:p>
        </w:tc>
        <w:tc>
          <w:tcPr>
            <w:tcW w:type="dxa" w:w="3249"/>
          </w:tcPr>
          <w:p>
            <w:r>
              <w:rPr>
                <w:sz w:val="18"/>
              </w:rPr>
              <w:t>Confirmada — sigue ROJO</w:t>
            </w:r>
          </w:p>
        </w:tc>
      </w:tr>
      <w:tr>
        <w:tc>
          <w:tcPr>
            <w:tcW w:type="dxa" w:w="3249"/>
          </w:tcPr>
          <w:p>
            <w:r>
              <w:rPr>
                <w:sz w:val="18"/>
              </w:rPr>
              <w:t>Inspector Fase 1</w:t>
            </w:r>
          </w:p>
        </w:tc>
        <w:tc>
          <w:tcPr>
            <w:tcW w:type="dxa" w:w="3249"/>
          </w:tcPr>
          <w:p>
            <w:r>
              <w:rPr>
                <w:sz w:val="18"/>
              </w:rPr>
              <w:t>Maria Mercedes Nieves Duarte</w:t>
            </w:r>
          </w:p>
        </w:tc>
        <w:tc>
          <w:tcPr>
            <w:tcW w:type="dxa" w:w="3249"/>
          </w:tcPr>
          <w:p>
            <w:r>
              <w:rPr>
                <w:sz w:val="18"/>
              </w:rPr>
              <w:t>Referencia válida</w:t>
            </w:r>
          </w:p>
        </w:tc>
      </w:tr>
      <w:tr>
        <w:tc>
          <w:tcPr>
            <w:tcW w:type="dxa" w:w="3249"/>
          </w:tcPr>
          <w:p>
            <w:r>
              <w:rPr>
                <w:sz w:val="18"/>
              </w:rPr>
              <w:t>Dirección Habitable</w:t>
            </w:r>
          </w:p>
        </w:tc>
        <w:tc>
          <w:tcPr>
            <w:tcW w:type="dxa" w:w="3249"/>
          </w:tcPr>
          <w:p>
            <w:r>
              <w:rPr>
                <w:sz w:val="18"/>
              </w:rPr>
              <w:t>Boulevard Tanaguarenas, Caraballeda</w:t>
            </w:r>
          </w:p>
        </w:tc>
        <w:tc>
          <w:tcPr>
            <w:tcW w:type="dxa" w:w="3249"/>
          </w:tcPr>
          <w:p>
            <w:r>
              <w:rPr>
                <w:sz w:val="18"/>
              </w:rPr>
              <w:t>Corregida: Av. José María España, Tanaguarenas</w:t>
            </w:r>
          </w:p>
        </w:tc>
      </w:tr>
      <w:tr>
        <w:tc>
          <w:tcPr>
            <w:tcW w:type="dxa" w:w="3249"/>
          </w:tcPr>
          <w:p>
            <w:r>
              <w:rPr>
                <w:sz w:val="18"/>
              </w:rPr>
              <w:t>Pisos / sótanos (F1)</w:t>
            </w:r>
          </w:p>
        </w:tc>
        <w:tc>
          <w:tcPr>
            <w:tcW w:type="dxa" w:w="3249"/>
          </w:tcPr>
          <w:p>
            <w:r>
              <w:rPr>
                <w:sz w:val="18"/>
              </w:rPr>
              <w:t>12 / 1</w:t>
            </w:r>
          </w:p>
        </w:tc>
        <w:tc>
          <w:tcPr>
            <w:tcW w:type="dxa" w:w="3249"/>
          </w:tcPr>
          <w:p>
            <w:r>
              <w:rPr>
                <w:sz w:val="18"/>
              </w:rPr>
              <w:t>Corregido: 12 / 2</w:t>
            </w:r>
          </w:p>
        </w:tc>
      </w:tr>
      <w:tr>
        <w:tc>
          <w:tcPr>
            <w:tcW w:type="dxa" w:w="3249"/>
          </w:tcPr>
          <w:p>
            <w:r>
              <w:rPr>
                <w:sz w:val="18"/>
              </w:rPr>
              <w:t>GPS Habitable</w:t>
            </w:r>
          </w:p>
        </w:tc>
        <w:tc>
          <w:tcPr>
            <w:tcW w:type="dxa" w:w="3249"/>
          </w:tcPr>
          <w:p>
            <w:r>
              <w:rPr>
                <w:sz w:val="18"/>
              </w:rPr>
              <w:t>10.6123543, -66.8318071</w:t>
            </w:r>
          </w:p>
        </w:tc>
        <w:tc>
          <w:tcPr>
            <w:tcW w:type="dxa" w:w="3249"/>
          </w:tcPr>
          <w:p>
            <w:r>
              <w:rPr>
                <w:sz w:val="18"/>
              </w:rPr>
              <w:t>GPS control visita: 10.489497, -66.899001</w:t>
            </w:r>
          </w:p>
        </w:tc>
      </w:tr>
      <w:tr>
        <w:tc>
          <w:tcPr>
            <w:tcW w:type="dxa" w:w="3249"/>
          </w:tcPr>
          <w:p>
            <w:r>
              <w:rPr>
                <w:sz w:val="18"/>
              </w:rPr>
              <w:t>Score / banda</w:t>
            </w:r>
          </w:p>
        </w:tc>
        <w:tc>
          <w:tcPr>
            <w:tcW w:type="dxa" w:w="3249"/>
          </w:tcPr>
          <w:p>
            <w:r>
              <w:rPr>
                <w:sz w:val="18"/>
              </w:rPr>
              <w:t>51 / Media</w:t>
            </w:r>
          </w:p>
        </w:tc>
        <w:tc>
          <w:tcPr>
            <w:tcW w:type="dxa" w:w="3249"/>
          </w:tcPr>
          <w:p>
            <w:r>
              <w:rPr>
                <w:sz w:val="18"/>
              </w:rPr>
              <w:t>Útil como prioridad; no refleja gravedad real en sitio</w:t>
            </w:r>
          </w:p>
        </w:tc>
      </w:tr>
      <w:tr>
        <w:tc>
          <w:tcPr>
            <w:tcW w:type="dxa" w:w="3249"/>
          </w:tcPr>
          <w:p>
            <w:r>
              <w:rPr>
                <w:sz w:val="18"/>
              </w:rPr>
              <w:t>Puesto cola</w:t>
            </w:r>
          </w:p>
        </w:tc>
        <w:tc>
          <w:tcPr>
            <w:tcW w:type="dxa" w:w="3249"/>
          </w:tcPr>
          <w:p>
            <w:r>
              <w:rPr>
                <w:sz w:val="18"/>
              </w:rPr>
              <w:t>~115 La Guaira / ~264 nacional</w:t>
            </w:r>
          </w:p>
        </w:tc>
        <w:tc>
          <w:tcPr>
            <w:tcW w:type="dxa" w:w="3249"/>
          </w:tcPr>
          <w:p>
            <w:r>
              <w:rPr>
                <w:sz w:val="18"/>
              </w:rPr>
              <w:t>Referencia operativa</w:t>
            </w:r>
          </w:p>
        </w:tc>
      </w:tr>
      <w:tr>
        <w:tc>
          <w:tcPr>
            <w:tcW w:type="dxa" w:w="3249"/>
          </w:tcPr>
          <w:p>
            <w:r>
              <w:rPr>
                <w:sz w:val="18"/>
              </w:rPr>
              <w:t>Detalle score</w:t>
            </w:r>
          </w:p>
        </w:tc>
        <w:tc>
          <w:tcPr>
            <w:tcW w:type="dxa" w:w="3249"/>
          </w:tcPr>
          <w:p>
            <w:r>
              <w:rPr>
                <w:sz w:val="18"/>
              </w:rPr>
              <w:t>riesgo_externo+20; ext_colapso+15; …</w:t>
            </w:r>
          </w:p>
        </w:tc>
        <w:tc>
          <w:tcPr>
            <w:tcW w:type="dxa" w:w="3249"/>
          </w:tcPr>
          <w:p>
            <w:r>
              <w:rPr>
                <w:sz w:val="18"/>
              </w:rPr>
              <w:t>Explica por qué entró en cola Media</w:t>
            </w:r>
          </w:p>
        </w:tc>
      </w:tr>
    </w:tbl>
    <w:p/>
    <w:p>
      <w:pPr>
        <w:pStyle w:val="Heading2"/>
      </w:pPr>
      <w:r>
        <w:t>A — Datos del inmueble</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Campo</w:t>
            </w:r>
          </w:p>
        </w:tc>
        <w:tc>
          <w:tcPr>
            <w:tcW w:type="dxa" w:w="4873"/>
            <w:shd w:fill="1F4E79" w:val="clear"/>
          </w:tcPr>
          <w:p>
            <w:r>
              <w:rPr>
                <w:b/>
                <w:color w:val="FFFFFF"/>
                <w:sz w:val="18"/>
              </w:rPr>
              <w:t>Valor</w:t>
            </w:r>
          </w:p>
        </w:tc>
      </w:tr>
      <w:tr>
        <w:tc>
          <w:tcPr>
            <w:tcW w:type="dxa" w:w="4873"/>
          </w:tcPr>
          <w:p>
            <w:r>
              <w:rPr>
                <w:sz w:val="18"/>
              </w:rPr>
              <w:t>Nombre confirmado</w:t>
            </w:r>
          </w:p>
        </w:tc>
        <w:tc>
          <w:tcPr>
            <w:tcW w:type="dxa" w:w="4873"/>
          </w:tcPr>
          <w:p>
            <w:r>
              <w:rPr>
                <w:sz w:val="18"/>
              </w:rPr>
              <w:t>Edificio Franco Mar</w:t>
            </w:r>
          </w:p>
        </w:tc>
      </w:tr>
      <w:tr>
        <w:tc>
          <w:tcPr>
            <w:tcW w:type="dxa" w:w="4873"/>
          </w:tcPr>
          <w:p>
            <w:r>
              <w:rPr>
                <w:sz w:val="18"/>
              </w:rPr>
              <w:t>Dirección</w:t>
            </w:r>
          </w:p>
        </w:tc>
        <w:tc>
          <w:tcPr>
            <w:tcW w:type="dxa" w:w="4873"/>
          </w:tcPr>
          <w:p>
            <w:r>
              <w:rPr>
                <w:sz w:val="18"/>
              </w:rPr>
              <w:t>Avenida José María España, Tanaguarenas, Vargas, La Guaira</w:t>
            </w:r>
          </w:p>
        </w:tc>
      </w:tr>
      <w:tr>
        <w:tc>
          <w:tcPr>
            <w:tcW w:type="dxa" w:w="4873"/>
          </w:tcPr>
          <w:p>
            <w:r>
              <w:rPr>
                <w:sz w:val="18"/>
              </w:rPr>
              <w:t>Coordenadas GPS control</w:t>
            </w:r>
          </w:p>
        </w:tc>
        <w:tc>
          <w:tcPr>
            <w:tcW w:type="dxa" w:w="4873"/>
          </w:tcPr>
          <w:p>
            <w:r>
              <w:rPr>
                <w:sz w:val="18"/>
              </w:rPr>
              <w:t>Lat. N 10.489497 · Long. W 66.899001</w:t>
            </w:r>
          </w:p>
        </w:tc>
      </w:tr>
      <w:tr>
        <w:tc>
          <w:tcPr>
            <w:tcW w:type="dxa" w:w="4873"/>
          </w:tcPr>
          <w:p>
            <w:r>
              <w:rPr>
                <w:sz w:val="18"/>
              </w:rPr>
              <w:t>Uso</w:t>
            </w:r>
          </w:p>
        </w:tc>
        <w:tc>
          <w:tcPr>
            <w:tcW w:type="dxa" w:w="4873"/>
          </w:tcPr>
          <w:p>
            <w:r>
              <w:rPr>
                <w:sz w:val="18"/>
              </w:rPr>
              <w:t>Vivienda multifamiliar (edificio residencial)</w:t>
            </w:r>
          </w:p>
        </w:tc>
      </w:tr>
      <w:tr>
        <w:tc>
          <w:tcPr>
            <w:tcW w:type="dxa" w:w="4873"/>
          </w:tcPr>
          <w:p>
            <w:r>
              <w:rPr>
                <w:sz w:val="18"/>
              </w:rPr>
              <w:t>Ocupación</w:t>
            </w:r>
          </w:p>
        </w:tc>
        <w:tc>
          <w:tcPr>
            <w:tcW w:type="dxa" w:w="4873"/>
          </w:tcPr>
          <w:p>
            <w:r>
              <w:rPr>
                <w:sz w:val="18"/>
              </w:rPr>
              <w:t>Desalojado — estructura inhabitable</w:t>
            </w:r>
          </w:p>
        </w:tc>
      </w:tr>
      <w:tr>
        <w:tc>
          <w:tcPr>
            <w:tcW w:type="dxa" w:w="4873"/>
          </w:tcPr>
          <w:p>
            <w:r>
              <w:rPr>
                <w:sz w:val="18"/>
              </w:rPr>
              <w:t>Contacto / entorno</w:t>
            </w:r>
          </w:p>
        </w:tc>
        <w:tc>
          <w:tcPr>
            <w:tcW w:type="dxa" w:w="4873"/>
          </w:tcPr>
          <w:p>
            <w:r>
              <w:rPr>
                <w:sz w:val="18"/>
              </w:rPr>
              <w:t>Arteria de alto tránsito; edificaciones colindantes</w:t>
            </w:r>
          </w:p>
        </w:tc>
      </w:tr>
    </w:tbl>
    <w:p/>
    <w:p>
      <w:pPr>
        <w:pStyle w:val="Heading2"/>
      </w:pPr>
      <w:r>
        <w:t>B — Descripción estructural</w:t>
      </w:r>
    </w:p>
    <w:p>
      <w:pPr>
        <w:pStyle w:val="ListBullet"/>
      </w:pPr>
      <w:r>
        <w:t>Sistema: pórticos de concreto armado ortogonales.</w:t>
      </w:r>
    </w:p>
    <w:p>
      <w:pPr>
        <w:pStyle w:val="ListBullet"/>
      </w:pPr>
      <w:r>
        <w:t>Columnas aproximadas: 22 perimetrales + 18 interiores en planta tipo.</w:t>
      </w:r>
    </w:p>
    <w:p>
      <w:pPr>
        <w:pStyle w:val="ListBullet"/>
      </w:pPr>
      <w:r>
        <w:t>Niveles: 12 pisos + 2 sótanos (estacionamiento).</w:t>
      </w:r>
    </w:p>
    <w:p>
      <w:pPr>
        <w:pStyle w:val="ListBullet"/>
      </w:pPr>
      <w:r>
        <w:t>Área planta aproximada: 780 m².</w:t>
      </w:r>
    </w:p>
    <w:p>
      <w:pPr>
        <w:pStyle w:val="ListBullet"/>
      </w:pPr>
      <w:r>
        <w:t>Condición global al 11/08/2026: daño estructural severo extremo; piso crítico en Nivel 1.</w:t>
      </w:r>
    </w:p>
    <w:p>
      <w:pPr>
        <w:pStyle w:val="Heading2"/>
      </w:pPr>
      <w:r>
        <w:t>C — Daño estructural detallado (Funvisis)</w:t>
      </w:r>
    </w:p>
    <w:p>
      <w:pPr>
        <w:pStyle w:val="Heading3"/>
      </w:pPr>
      <w:r>
        <w:t>C.1 Columnas de concreto armado</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Atributo</w:t>
            </w:r>
          </w:p>
        </w:tc>
        <w:tc>
          <w:tcPr>
            <w:tcW w:type="dxa" w:w="4873"/>
            <w:shd w:fill="1F4E79" w:val="clear"/>
          </w:tcPr>
          <w:p>
            <w:r>
              <w:rPr>
                <w:b/>
                <w:color w:val="FFFFFF"/>
                <w:sz w:val="18"/>
              </w:rPr>
              <w:t>Valor</w:t>
            </w:r>
          </w:p>
        </w:tc>
      </w:tr>
      <w:tr>
        <w:tc>
          <w:tcPr>
            <w:tcW w:type="dxa" w:w="4873"/>
          </w:tcPr>
          <w:p>
            <w:r>
              <w:rPr>
                <w:sz w:val="18"/>
              </w:rPr>
              <w:t>Mecanismo de falla</w:t>
            </w:r>
          </w:p>
        </w:tc>
        <w:tc>
          <w:tcPr>
            <w:tcW w:type="dxa" w:w="4873"/>
          </w:tcPr>
          <w:p>
            <w:r>
              <w:rPr>
                <w:sz w:val="18"/>
              </w:rPr>
              <w:t>Compresión / aplastamiento del núcleo</w:t>
            </w:r>
          </w:p>
        </w:tc>
      </w:tr>
      <w:tr>
        <w:tc>
          <w:tcPr>
            <w:tcW w:type="dxa" w:w="4873"/>
          </w:tcPr>
          <w:p>
            <w:r>
              <w:rPr>
                <w:sz w:val="18"/>
              </w:rPr>
              <w:t>Nivel de daño</w:t>
            </w:r>
          </w:p>
        </w:tc>
        <w:tc>
          <w:tcPr>
            <w:tcW w:type="dxa" w:w="4873"/>
          </w:tcPr>
          <w:p>
            <w:r>
              <w:rPr>
                <w:sz w:val="18"/>
              </w:rPr>
              <w:t>Severo</w:t>
            </w:r>
          </w:p>
        </w:tc>
      </w:tr>
      <w:tr>
        <w:tc>
          <w:tcPr>
            <w:tcW w:type="dxa" w:w="4873"/>
          </w:tcPr>
          <w:p>
            <w:r>
              <w:rPr>
                <w:sz w:val="18"/>
              </w:rPr>
              <w:t>Ubicación</w:t>
            </w:r>
          </w:p>
        </w:tc>
        <w:tc>
          <w:tcPr>
            <w:tcW w:type="dxa" w:w="4873"/>
          </w:tcPr>
          <w:p>
            <w:r>
              <w:rPr>
                <w:sz w:val="18"/>
              </w:rPr>
              <w:t>Nivel 1 (piso crítico) — perimetrales e interiores</w:t>
            </w:r>
          </w:p>
        </w:tc>
      </w:tr>
      <w:tr>
        <w:tc>
          <w:tcPr>
            <w:tcW w:type="dxa" w:w="4873"/>
          </w:tcPr>
          <w:p>
            <w:r>
              <w:rPr>
                <w:sz w:val="18"/>
              </w:rPr>
              <w:t>Evidencia</w:t>
            </w:r>
          </w:p>
        </w:tc>
        <w:tc>
          <w:tcPr>
            <w:tcW w:type="dxa" w:w="4873"/>
          </w:tcPr>
          <w:p>
            <w:r>
              <w:rPr>
                <w:sz w:val="18"/>
              </w:rPr>
              <w:t>&gt;50% columnas con grietas &gt;10 cm; &gt;50% pérdida sección núcleo; acero expuesto y pandeado</w:t>
            </w:r>
          </w:p>
        </w:tc>
      </w:tr>
      <w:tr>
        <w:tc>
          <w:tcPr>
            <w:tcW w:type="dxa" w:w="4873"/>
          </w:tcPr>
          <w:p>
            <w:r>
              <w:rPr>
                <w:sz w:val="18"/>
              </w:rPr>
              <w:t>Fotos ref.</w:t>
            </w:r>
          </w:p>
        </w:tc>
        <w:tc>
          <w:tcPr>
            <w:tcW w:type="dxa" w:w="4873"/>
          </w:tcPr>
          <w:p>
            <w:r>
              <w:rPr>
                <w:sz w:val="18"/>
              </w:rPr>
              <w:t>FOTOS 4–7 del informe DGPS</w:t>
            </w:r>
          </w:p>
        </w:tc>
      </w:tr>
    </w:tbl>
    <w:p/>
    <w:p>
      <w:pPr>
        <w:pStyle w:val="Heading3"/>
      </w:pPr>
      <w:r>
        <w:t>C.2 Vigas de concreto armado</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Atributo</w:t>
            </w:r>
          </w:p>
        </w:tc>
        <w:tc>
          <w:tcPr>
            <w:tcW w:type="dxa" w:w="4873"/>
            <w:shd w:fill="1F4E79" w:val="clear"/>
          </w:tcPr>
          <w:p>
            <w:r>
              <w:rPr>
                <w:b/>
                <w:color w:val="FFFFFF"/>
                <w:sz w:val="18"/>
              </w:rPr>
              <w:t>Valor</w:t>
            </w:r>
          </w:p>
        </w:tc>
      </w:tr>
      <w:tr>
        <w:tc>
          <w:tcPr>
            <w:tcW w:type="dxa" w:w="4873"/>
          </w:tcPr>
          <w:p>
            <w:r>
              <w:rPr>
                <w:sz w:val="18"/>
              </w:rPr>
              <w:t>Mecanismo</w:t>
            </w:r>
          </w:p>
        </w:tc>
        <w:tc>
          <w:tcPr>
            <w:tcW w:type="dxa" w:w="4873"/>
          </w:tcPr>
          <w:p>
            <w:r>
              <w:rPr>
                <w:sz w:val="18"/>
              </w:rPr>
              <w:t>Corte / tensión diagonal</w:t>
            </w:r>
          </w:p>
        </w:tc>
      </w:tr>
      <w:tr>
        <w:tc>
          <w:tcPr>
            <w:tcW w:type="dxa" w:w="4873"/>
          </w:tcPr>
          <w:p>
            <w:r>
              <w:rPr>
                <w:sz w:val="18"/>
              </w:rPr>
              <w:t>Nivel</w:t>
            </w:r>
          </w:p>
        </w:tc>
        <w:tc>
          <w:tcPr>
            <w:tcW w:type="dxa" w:w="4873"/>
          </w:tcPr>
          <w:p>
            <w:r>
              <w:rPr>
                <w:sz w:val="18"/>
              </w:rPr>
              <w:t>Severo en enlace; afectación hasta ~5 niveles</w:t>
            </w:r>
          </w:p>
        </w:tc>
      </w:tr>
      <w:tr>
        <w:tc>
          <w:tcPr>
            <w:tcW w:type="dxa" w:w="4873"/>
          </w:tcPr>
          <w:p>
            <w:r>
              <w:rPr>
                <w:sz w:val="18"/>
              </w:rPr>
              <w:t>Evidencia</w:t>
            </w:r>
          </w:p>
        </w:tc>
        <w:tc>
          <w:tcPr>
            <w:tcW w:type="dxa" w:w="4873"/>
          </w:tcPr>
          <w:p>
            <w:r>
              <w:rPr>
                <w:sz w:val="18"/>
              </w:rPr>
              <w:t>Grietas diagonales típicas 45° en vigas principales</w:t>
            </w:r>
          </w:p>
        </w:tc>
      </w:tr>
      <w:tr>
        <w:tc>
          <w:tcPr>
            <w:tcW w:type="dxa" w:w="4873"/>
          </w:tcPr>
          <w:p>
            <w:r>
              <w:rPr>
                <w:sz w:val="18"/>
              </w:rPr>
              <w:t>Fotos ref.</w:t>
            </w:r>
          </w:p>
        </w:tc>
        <w:tc>
          <w:tcPr>
            <w:tcW w:type="dxa" w:w="4873"/>
          </w:tcPr>
          <w:p>
            <w:r>
              <w:rPr>
                <w:sz w:val="18"/>
              </w:rPr>
              <w:t>FOTO 8</w:t>
            </w:r>
          </w:p>
        </w:tc>
      </w:tr>
    </w:tbl>
    <w:p/>
    <w:p>
      <w:pPr>
        <w:pStyle w:val="Heading3"/>
      </w:pPr>
      <w:r>
        <w:t>C.3 Losas / escaleras / sótanos</w:t>
      </w:r>
    </w:p>
    <w:p>
      <w:pPr>
        <w:pStyle w:val="ListBullet"/>
      </w:pPr>
      <w:r>
        <w:t>Reducción de altura de entrepiso en Nivel 1 por aplastamiento de columnas.</w:t>
      </w:r>
    </w:p>
    <w:p>
      <w:pPr>
        <w:pStyle w:val="ListBullet"/>
      </w:pPr>
      <w:r>
        <w:t>Fisuras en arranque losa escalera primer piso (FOTO 9).</w:t>
      </w:r>
    </w:p>
    <w:p>
      <w:pPr>
        <w:pStyle w:val="ListBullet"/>
      </w:pPr>
      <w:r>
        <w:t>Fracturas compresión en columnas de sótanos.</w:t>
      </w:r>
    </w:p>
    <w:p>
      <w:pPr>
        <w:pStyle w:val="Heading3"/>
      </w:pPr>
      <w:r>
        <w:t>C.4 Campos puente (tablero)</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Indicador</w:t>
            </w:r>
          </w:p>
        </w:tc>
        <w:tc>
          <w:tcPr>
            <w:tcW w:type="dxa" w:w="4873"/>
            <w:shd w:fill="1F4E79" w:val="clear"/>
          </w:tcPr>
          <w:p>
            <w:r>
              <w:rPr>
                <w:b/>
                <w:color w:val="FFFFFF"/>
                <w:sz w:val="18"/>
              </w:rPr>
              <w:t>Valor</w:t>
            </w:r>
          </w:p>
        </w:tc>
      </w:tr>
      <w:tr>
        <w:tc>
          <w:tcPr>
            <w:tcW w:type="dxa" w:w="4873"/>
          </w:tcPr>
          <w:p>
            <w:r>
              <w:rPr>
                <w:sz w:val="18"/>
              </w:rPr>
              <w:t>Piso crítico</w:t>
            </w:r>
          </w:p>
        </w:tc>
        <w:tc>
          <w:tcPr>
            <w:tcW w:type="dxa" w:w="4873"/>
          </w:tcPr>
          <w:p>
            <w:r>
              <w:rPr>
                <w:sz w:val="18"/>
              </w:rPr>
              <w:t>Nivel 1 / PB transición</w:t>
            </w:r>
          </w:p>
        </w:tc>
      </w:tr>
      <w:tr>
        <w:tc>
          <w:tcPr>
            <w:tcW w:type="dxa" w:w="4873"/>
          </w:tcPr>
          <w:p>
            <w:r>
              <w:rPr>
                <w:sz w:val="18"/>
              </w:rPr>
              <w:t>% columnas daño grave</w:t>
            </w:r>
          </w:p>
        </w:tc>
        <w:tc>
          <w:tcPr>
            <w:tcW w:type="dxa" w:w="4873"/>
          </w:tcPr>
          <w:p>
            <w:r>
              <w:rPr>
                <w:sz w:val="18"/>
              </w:rPr>
              <w:t>&gt;50% en piso crítico</w:t>
            </w:r>
          </w:p>
        </w:tc>
      </w:tr>
      <w:tr>
        <w:tc>
          <w:tcPr>
            <w:tcW w:type="dxa" w:w="4873"/>
          </w:tcPr>
          <w:p>
            <w:r>
              <w:rPr>
                <w:sz w:val="18"/>
              </w:rPr>
              <w:t>Inclinación / verticalidad</w:t>
            </w:r>
          </w:p>
        </w:tc>
        <w:tc>
          <w:tcPr>
            <w:tcW w:type="dxa" w:w="4873"/>
          </w:tcPr>
          <w:p>
            <w:r>
              <w:rPr>
                <w:sz w:val="18"/>
              </w:rPr>
              <w:t>Sí — pérdida de verticalidad global (P-Delta)</w:t>
            </w:r>
          </w:p>
        </w:tc>
      </w:tr>
      <w:tr>
        <w:tc>
          <w:tcPr>
            <w:tcW w:type="dxa" w:w="4873"/>
          </w:tcPr>
          <w:p>
            <w:r>
              <w:rPr>
                <w:sz w:val="18"/>
              </w:rPr>
              <w:t>Peligro aledaños / vía</w:t>
            </w:r>
          </w:p>
        </w:tc>
        <w:tc>
          <w:tcPr>
            <w:tcW w:type="dxa" w:w="4873"/>
          </w:tcPr>
          <w:p>
            <w:r>
              <w:rPr>
                <w:sz w:val="18"/>
              </w:rPr>
              <w:t>Sí — alto riesgo colapso sobre vía y vecinos</w:t>
            </w:r>
          </w:p>
        </w:tc>
      </w:tr>
    </w:tbl>
    <w:p/>
    <w:p>
      <w:pPr>
        <w:pStyle w:val="Heading3"/>
      </w:pPr>
      <w:r>
        <w:t>C.5 Diagnóstico narrativo (texto libre)</w:t>
      </w:r>
    </w:p>
    <w:p>
      <w:r>
        <w:rPr>
          <w:b w:val="0"/>
          <w:sz w:val="22"/>
        </w:rPr>
        <w:t>Se confirma carácter crítico del Nivel 1: falla masiva por compresión en columnas, reducción de entrepiso, pérdida de verticalidad y redistribución de esfuerzos en vigas hasta cinco niveles. Respecto a la precarga Habitable: la etiqueta ROJA y el desalojo eran correctos; el ranking Media (51) subestima la gravedad observada en la inspección detallada. No se considera viable reparación segura in situ bajo una torre de 12 pisos con apoyos del piso crítico en este estado.</w:t>
      </w:r>
    </w:p>
    <w:p>
      <w:pPr>
        <w:pStyle w:val="Heading2"/>
      </w:pPr>
      <w:r>
        <w:t>D — Daño en mampostería</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Atributo</w:t>
            </w:r>
          </w:p>
        </w:tc>
        <w:tc>
          <w:tcPr>
            <w:tcW w:type="dxa" w:w="4873"/>
            <w:shd w:fill="1F4E79" w:val="clear"/>
          </w:tcPr>
          <w:p>
            <w:r>
              <w:rPr>
                <w:b/>
                <w:color w:val="FFFFFF"/>
                <w:sz w:val="18"/>
              </w:rPr>
              <w:t>Valor</w:t>
            </w:r>
          </w:p>
        </w:tc>
      </w:tr>
      <w:tr>
        <w:tc>
          <w:tcPr>
            <w:tcW w:type="dxa" w:w="4873"/>
          </w:tcPr>
          <w:p>
            <w:r>
              <w:rPr>
                <w:sz w:val="18"/>
              </w:rPr>
              <w:t>Mecanismo</w:t>
            </w:r>
          </w:p>
        </w:tc>
        <w:tc>
          <w:tcPr>
            <w:tcW w:type="dxa" w:w="4873"/>
          </w:tcPr>
          <w:p>
            <w:r>
              <w:rPr>
                <w:sz w:val="18"/>
              </w:rPr>
              <w:t>Compresión por reducción de entrepiso / fuera de plano en cerramientos</w:t>
            </w:r>
          </w:p>
        </w:tc>
      </w:tr>
      <w:tr>
        <w:tc>
          <w:tcPr>
            <w:tcW w:type="dxa" w:w="4873"/>
          </w:tcPr>
          <w:p>
            <w:r>
              <w:rPr>
                <w:sz w:val="18"/>
              </w:rPr>
              <w:t>Nivel</w:t>
            </w:r>
          </w:p>
        </w:tc>
        <w:tc>
          <w:tcPr>
            <w:tcW w:type="dxa" w:w="4873"/>
          </w:tcPr>
          <w:p>
            <w:r>
              <w:rPr>
                <w:sz w:val="18"/>
              </w:rPr>
              <w:t>Severo en tabiquería comprimida PB</w:t>
            </w:r>
          </w:p>
        </w:tc>
      </w:tr>
      <w:tr>
        <w:tc>
          <w:tcPr>
            <w:tcW w:type="dxa" w:w="4873"/>
          </w:tcPr>
          <w:p>
            <w:r>
              <w:rPr>
                <w:sz w:val="18"/>
              </w:rPr>
              <w:t>Diagnóstico</w:t>
            </w:r>
          </w:p>
        </w:tc>
        <w:tc>
          <w:tcPr>
            <w:tcW w:type="dxa" w:w="4873"/>
          </w:tcPr>
          <w:p>
            <w:r>
              <w:rPr>
                <w:sz w:val="18"/>
              </w:rPr>
              <w:t>Paredes de cerramiento fracturadas e inclinadas por descenso violento de losa superior</w:t>
            </w:r>
          </w:p>
        </w:tc>
      </w:tr>
      <w:tr>
        <w:tc>
          <w:tcPr>
            <w:tcW w:type="dxa" w:w="4873"/>
          </w:tcPr>
          <w:p>
            <w:r>
              <w:rPr>
                <w:sz w:val="18"/>
              </w:rPr>
              <w:t>Fotos ref.</w:t>
            </w:r>
          </w:p>
        </w:tc>
        <w:tc>
          <w:tcPr>
            <w:tcW w:type="dxa" w:w="4873"/>
          </w:tcPr>
          <w:p>
            <w:r>
              <w:rPr>
                <w:sz w:val="18"/>
              </w:rPr>
              <w:t>FOTOS 2, 10</w:t>
            </w:r>
          </w:p>
        </w:tc>
      </w:tr>
    </w:tbl>
    <w:p/>
    <w:p>
      <w:pPr>
        <w:pStyle w:val="Heading2"/>
      </w:pPr>
      <w:r>
        <w:t>E — Procedimientos sugeridos (Funvisis)</w:t>
      </w:r>
    </w:p>
    <w:p>
      <w:r>
        <w:rPr>
          <w:b w:val="0"/>
          <w:sz w:val="22"/>
        </w:rPr>
        <w:t>Dado el diagnóstico y la decisión de demolición, no proceden alternativas de reparación local. Se documenta:</w:t>
      </w:r>
    </w:p>
    <w:p>
      <w:pPr>
        <w:pStyle w:val="ListBullet"/>
      </w:pPr>
      <w:r>
        <w:t>Columnas: condición crítica — fuera del alcance de COL-01 a COL-04 (aplastamiento, barras pandeadas, núcleo triturado).</w:t>
      </w:r>
    </w:p>
    <w:p>
      <w:pPr>
        <w:pStyle w:val="ListBullet"/>
      </w:pPr>
      <w:r>
        <w:t>Vigas: daño severo por corte — reconstrucción equivalente no viable en contexto de demolición global.</w:t>
      </w:r>
    </w:p>
    <w:p>
      <w:pPr>
        <w:pStyle w:val="ListBullet"/>
      </w:pPr>
      <w:r>
        <w:t>Mampostería: daño severo; intervención MAM no aplicable — edificio a demoler.</w:t>
      </w:r>
    </w:p>
    <w:p>
      <w:pPr>
        <w:pStyle w:val="ListBullet"/>
      </w:pPr>
      <w:r>
        <w:t>Apuntalamiento: no recomendado como solución permanente; riesgo inaceptable para operarios bajo P-Delta.</w:t>
      </w:r>
    </w:p>
    <w:p>
      <w:pPr>
        <w:pStyle w:val="Heading2"/>
      </w:pPr>
      <w:r>
        <w:t>F — Decisión de control</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Campo</w:t>
            </w:r>
          </w:p>
        </w:tc>
        <w:tc>
          <w:tcPr>
            <w:tcW w:type="dxa" w:w="4873"/>
            <w:shd w:fill="1F4E79" w:val="clear"/>
          </w:tcPr>
          <w:p>
            <w:r>
              <w:rPr>
                <w:b/>
                <w:color w:val="FFFFFF"/>
                <w:sz w:val="18"/>
              </w:rPr>
              <w:t>Valor</w:t>
            </w:r>
          </w:p>
        </w:tc>
      </w:tr>
      <w:tr>
        <w:tc>
          <w:tcPr>
            <w:tcW w:type="dxa" w:w="4873"/>
          </w:tcPr>
          <w:p>
            <w:r>
              <w:rPr>
                <w:sz w:val="18"/>
              </w:rPr>
              <w:t>Decisión D</w:t>
            </w:r>
          </w:p>
        </w:tc>
        <w:tc>
          <w:tcPr>
            <w:tcW w:type="dxa" w:w="4873"/>
          </w:tcPr>
          <w:p>
            <w:r>
              <w:rPr>
                <w:sz w:val="18"/>
              </w:rPr>
              <w:t>D1 — Demoler</w:t>
            </w:r>
          </w:p>
        </w:tc>
      </w:tr>
      <w:tr>
        <w:tc>
          <w:tcPr>
            <w:tcW w:type="dxa" w:w="4873"/>
          </w:tcPr>
          <w:p>
            <w:r>
              <w:rPr>
                <w:sz w:val="18"/>
              </w:rPr>
              <w:t>Magnitud M</w:t>
            </w:r>
          </w:p>
        </w:tc>
        <w:tc>
          <w:tcPr>
            <w:tcW w:type="dxa" w:w="4873"/>
          </w:tcPr>
          <w:p>
            <w:r>
              <w:rPr>
                <w:sz w:val="18"/>
              </w:rPr>
              <w:t>N/A (no es reparación D2)</w:t>
            </w:r>
          </w:p>
        </w:tc>
      </w:tr>
      <w:tr>
        <w:tc>
          <w:tcPr>
            <w:tcW w:type="dxa" w:w="4873"/>
          </w:tcPr>
          <w:p>
            <w:r>
              <w:rPr>
                <w:sz w:val="18"/>
              </w:rPr>
              <w:t>Prioridad</w:t>
            </w:r>
          </w:p>
        </w:tc>
        <w:tc>
          <w:tcPr>
            <w:tcW w:type="dxa" w:w="4873"/>
          </w:tcPr>
          <w:p>
            <w:r>
              <w:rPr>
                <w:sz w:val="18"/>
              </w:rPr>
              <w:t>Inmediata</w:t>
            </w:r>
          </w:p>
        </w:tc>
      </w:tr>
      <w:tr>
        <w:tc>
          <w:tcPr>
            <w:tcW w:type="dxa" w:w="4873"/>
          </w:tcPr>
          <w:p>
            <w:r>
              <w:rPr>
                <w:sz w:val="18"/>
              </w:rPr>
              <w:t>Medidas inmediatas</w:t>
            </w:r>
          </w:p>
        </w:tc>
        <w:tc>
          <w:tcPr>
            <w:tcW w:type="dxa" w:w="4873"/>
          </w:tcPr>
          <w:p>
            <w:r>
              <w:rPr>
                <w:sz w:val="18"/>
              </w:rPr>
              <w:t>Exclusión total; acordonar; prohibir ingreso; monitoreo colindantes</w:t>
            </w:r>
          </w:p>
        </w:tc>
      </w:tr>
      <w:tr>
        <w:tc>
          <w:tcPr>
            <w:tcW w:type="dxa" w:w="4873"/>
          </w:tcPr>
          <w:p>
            <w:r>
              <w:rPr>
                <w:sz w:val="18"/>
              </w:rPr>
              <w:t>Motivos tipificados D1</w:t>
            </w:r>
          </w:p>
        </w:tc>
        <w:tc>
          <w:tcPr>
            <w:tcW w:type="dxa" w:w="4873"/>
          </w:tcPr>
          <w:p>
            <w:r>
              <w:rPr>
                <w:sz w:val="18"/>
              </w:rPr>
              <w:t>Piso crítico masivo; pérdida verticalidad; &gt;50% columnas graves; peligro aledaños</w:t>
            </w:r>
          </w:p>
        </w:tc>
      </w:tr>
    </w:tbl>
    <w:p/>
    <w:p>
      <w:pPr>
        <w:pStyle w:val="Heading3"/>
      </w:pPr>
      <w:r>
        <w:t>F.1 Justificación libre</w:t>
      </w:r>
    </w:p>
    <w:p>
      <w:r>
        <w:rPr>
          <w:b w:val="0"/>
          <w:sz w:val="22"/>
        </w:rPr>
        <w:t>Aunque el ranking de Fase 1 ubicaba el caso en banda Media, la inspección detallada evidencia colapso parcial de entrepiso, aplastamiento de más del 50% de columnas del Nivel 1, pérdida de verticalidad con efectos P-Delta y riesgo crítico para la vía pública y edificaciones vecinas. La reparación y el apuntalamiento para reconstrucción in situ no son técnicamente viables con seguridad razonable. Se recomienda demolición rápida y controlada, de arriba hacia abajo, bajo protocolo de ingeniería de demolición.</w:t>
      </w:r>
    </w:p>
    <w:p>
      <w:pPr>
        <w:pStyle w:val="Heading2"/>
      </w:pPr>
      <w:r>
        <w:t>G — Estimación referencial (opcional)</w:t>
      </w:r>
    </w:p>
    <w:p>
      <w:r>
        <w:rPr>
          <w:b w:val="0"/>
          <w:sz w:val="22"/>
        </w:rPr>
        <w:t>Para demolición controlada de torre ~12 pisos, área ~780 m²/planta: usar calculadora del sistema con supuestos editables (USD/m² demolición, accesos, escombros). Siempre rotular «estimación preliminar — no presupuesto contractual».</w:t>
      </w:r>
    </w:p>
    <w:p>
      <w:pPr>
        <w:pStyle w:val="Heading2"/>
      </w:pPr>
      <w:r>
        <w:t>H — Evidencia, firmas y resumen ejecutivo</w:t>
      </w:r>
    </w:p>
    <w:p>
      <w:r>
        <w:rPr>
          <w:b w:val="0"/>
          <w:sz w:val="22"/>
        </w:rPr>
        <w:t>Registro fotográfico: mínimo 10 evidencias referenciadas en informe DGPS (FOTOS 1–10).</w:t>
      </w:r>
    </w:p>
    <w:p>
      <w:r>
        <w:rPr>
          <w:b w:val="0"/>
          <w:sz w:val="22"/>
        </w:rPr>
        <w:t>Firmas: Elaboraron Burgos / García · Supervisión Aura Quintero · Vinculado certificado Habitable 73420200720261338.</w:t>
      </w:r>
    </w:p>
    <w:p>
      <w:pPr>
        <w:pStyle w:val="Heading3"/>
      </w:pPr>
      <w:r>
        <w:t>Resumen ejecutivo (mesa de trabajo)</w:t>
      </w:r>
    </w:p>
    <w:p>
      <w:r>
        <w:rPr>
          <w:b/>
          <w:sz w:val="22"/>
        </w:rPr>
        <w:t>Franco Mar (Tanaguarenas, La Guaira). Fase 1: ROJO 20/07/2026, score 51 (Media; ~puesto 115 La Guaira). Visita detallada 11/08/2026: 12 pisos + 2 sótanos, pórticos CA, piso crítico Nivel 1 con &gt;50% columnas graves, pérdida de verticalidad, daño por corte en vigas (5 niveles), peligro a vía y vecinos. Validación: ROJO confirmado; corrección sótanos y GPS/dirección. Procedimientos de reparación: no aplicables (condición crítica). Decisión: D1 demoler, prioridad inmediata. Próxima acción: proyecto demolición controlada y monitoreo de colindantes.</w:t>
      </w:r>
    </w:p>
    <w:p>
      <w:r>
        <w:rPr>
          <w:b/>
          <w:sz w:val="22"/>
        </w:rPr>
        <w:t>Excel asociado: Plantilla ejecutiva informe consolidado Fase II (hoja FrancoMar_completo).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