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Arial"/>
          <w:b/>
          <w:i w:val="0"/>
          <w:color w:val="1B3A5C"/>
          <w:sz w:val="36"/>
        </w:rPr>
        <w:t>MINUTA DE REUNIÓN — MESA ACTUARIAL</w:t>
      </w:r>
    </w:p>
    <w:p>
      <w:pPr>
        <w:spacing w:after="120"/>
      </w:pPr>
      <w:r>
        <w:rPr>
          <w:rFonts w:ascii="Arial" w:hAnsi="Arial" w:eastAsia="Arial"/>
          <w:b/>
          <w:i w:val="0"/>
          <w:sz w:val="22"/>
        </w:rPr>
        <w:t>La Internacional de Seguros</w:t>
      </w:r>
      <w:r>
        <w:rPr>
          <w:rFonts w:ascii="Arial" w:hAnsi="Arial" w:eastAsia="Arial"/>
          <w:b w:val="0"/>
          <w:i w:val="0"/>
          <w:sz w:val="22"/>
        </w:rPr>
        <w:t xml:space="preserve"> · Plan de Optimización y Rentabilidad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i w:val="0"/>
                <w:sz w:val="20"/>
              </w:rPr>
              <w:t>Referencia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i w:val="0"/>
                <w:sz w:val="20"/>
              </w:rPr>
              <w:t>MIN-POR-ACT-20260414-01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Fecha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2026-04-14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Lugar / modalidad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*(completar)*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Asunto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Seguimiento POR — revisión de insumos remitidos por Gerencia Actuarial; acceso a red y carpetas compartidas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i w:val="0"/>
          <w:color w:val="1B3A5C"/>
          <w:sz w:val="24"/>
        </w:rPr>
        <w:t>1. Participantes de la reunión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i w:val="0"/>
                <w:sz w:val="20"/>
              </w:rPr>
              <w:t>Nombre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i w:val="0"/>
                <w:sz w:val="20"/>
              </w:rPr>
              <w:t>Cargo / representación en la sesión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Lic. Yaritza Oberto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Gerente Actuarial — Mesa Actuarial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Angel Colmenares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Seguimiento y reportería (Plan de Optimización y Rentabilidad 2026)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i w:val="0"/>
          <w:color w:val="1B3A5C"/>
          <w:sz w:val="24"/>
        </w:rPr>
        <w:t>2. Objeto de la sesión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 xml:space="preserve">Dar continuidad a la </w:t>
      </w:r>
      <w:r>
        <w:rPr>
          <w:rFonts w:ascii="Arial" w:hAnsi="Arial" w:eastAsia="Arial"/>
          <w:b/>
          <w:i w:val="0"/>
          <w:sz w:val="22"/>
        </w:rPr>
        <w:t>sesión del 13-04-2026</w:t>
      </w:r>
      <w:r>
        <w:rPr>
          <w:rFonts w:ascii="Arial" w:hAnsi="Arial" w:eastAsia="Arial"/>
          <w:b w:val="0"/>
          <w:i w:val="0"/>
          <w:sz w:val="22"/>
        </w:rPr>
        <w:t xml:space="preserve"> y a lo acordado para el seguimiento del </w:t>
      </w:r>
      <w:r>
        <w:rPr>
          <w:rFonts w:ascii="Arial" w:hAnsi="Arial" w:eastAsia="Arial"/>
          <w:b/>
          <w:i w:val="0"/>
          <w:sz w:val="22"/>
        </w:rPr>
        <w:t>14-04-2026</w:t>
      </w:r>
      <w:r>
        <w:rPr>
          <w:rFonts w:ascii="Arial" w:hAnsi="Arial" w:eastAsia="Arial"/>
          <w:b w:val="0"/>
          <w:i w:val="0"/>
          <w:sz w:val="22"/>
        </w:rPr>
        <w:t xml:space="preserve">: </w:t>
      </w:r>
      <w:r>
        <w:rPr>
          <w:rFonts w:ascii="Arial" w:hAnsi="Arial" w:eastAsia="Arial"/>
          <w:b/>
          <w:i w:val="0"/>
          <w:sz w:val="22"/>
        </w:rPr>
        <w:t>iniciar la revisión</w:t>
      </w:r>
      <w:r>
        <w:rPr>
          <w:rFonts w:ascii="Arial" w:hAnsi="Arial" w:eastAsia="Arial"/>
          <w:b w:val="0"/>
          <w:i w:val="0"/>
          <w:sz w:val="22"/>
        </w:rPr>
        <w:t xml:space="preserve"> de los insumos remitidos por la </w:t>
      </w:r>
      <w:r>
        <w:rPr>
          <w:rFonts w:ascii="Arial" w:hAnsi="Arial" w:eastAsia="Arial"/>
          <w:b/>
          <w:i w:val="0"/>
          <w:sz w:val="22"/>
        </w:rPr>
        <w:t>Gerencia Actuarial</w:t>
      </w:r>
      <w:r>
        <w:rPr>
          <w:rFonts w:ascii="Arial" w:hAnsi="Arial" w:eastAsia="Arial"/>
          <w:b w:val="0"/>
          <w:i w:val="0"/>
          <w:sz w:val="22"/>
        </w:rPr>
        <w:t xml:space="preserve"> en el marco del trabajo con </w:t>
      </w:r>
      <w:r>
        <w:rPr>
          <w:rFonts w:ascii="Arial" w:hAnsi="Arial" w:eastAsia="Arial"/>
          <w:b/>
          <w:i w:val="0"/>
          <w:sz w:val="22"/>
        </w:rPr>
        <w:t>SUDEASEG</w:t>
      </w:r>
      <w:r>
        <w:rPr>
          <w:rFonts w:ascii="Arial" w:hAnsi="Arial" w:eastAsia="Arial"/>
          <w:b w:val="0"/>
          <w:i w:val="0"/>
          <w:sz w:val="22"/>
        </w:rPr>
        <w:t xml:space="preserve"> y de la </w:t>
      </w:r>
      <w:r>
        <w:rPr>
          <w:rFonts w:ascii="Arial" w:hAnsi="Arial" w:eastAsia="Arial"/>
          <w:b/>
          <w:i w:val="0"/>
          <w:sz w:val="22"/>
        </w:rPr>
        <w:t>reportería de gestión</w:t>
      </w:r>
      <w:r>
        <w:rPr>
          <w:rFonts w:ascii="Arial" w:hAnsi="Arial" w:eastAsia="Arial"/>
          <w:b w:val="0"/>
          <w:i w:val="0"/>
          <w:sz w:val="22"/>
        </w:rPr>
        <w:t xml:space="preserve">; así como </w:t>
      </w:r>
      <w:r>
        <w:rPr>
          <w:rFonts w:ascii="Arial" w:hAnsi="Arial" w:eastAsia="Arial"/>
          <w:b/>
          <w:i w:val="0"/>
          <w:sz w:val="22"/>
        </w:rPr>
        <w:t>verificar la VPN</w:t>
      </w:r>
      <w:r>
        <w:rPr>
          <w:rFonts w:ascii="Arial" w:hAnsi="Arial" w:eastAsia="Arial"/>
          <w:b w:val="0"/>
          <w:i w:val="0"/>
          <w:sz w:val="22"/>
        </w:rPr>
        <w:t xml:space="preserve"> y </w:t>
      </w:r>
      <w:r>
        <w:rPr>
          <w:rFonts w:ascii="Arial" w:hAnsi="Arial" w:eastAsia="Arial"/>
          <w:b/>
          <w:i w:val="0"/>
          <w:sz w:val="22"/>
        </w:rPr>
        <w:t>configurar o validar el acceso</w:t>
      </w:r>
      <w:r>
        <w:rPr>
          <w:rFonts w:ascii="Arial" w:hAnsi="Arial" w:eastAsia="Arial"/>
          <w:b w:val="0"/>
          <w:i w:val="0"/>
          <w:sz w:val="22"/>
        </w:rPr>
        <w:t xml:space="preserve"> a las </w:t>
      </w:r>
      <w:r>
        <w:rPr>
          <w:rFonts w:ascii="Arial" w:hAnsi="Arial" w:eastAsia="Arial"/>
          <w:b/>
          <w:i w:val="0"/>
          <w:sz w:val="22"/>
        </w:rPr>
        <w:t>carpetas compartidas</w:t>
      </w:r>
      <w:r>
        <w:rPr>
          <w:rFonts w:ascii="Arial" w:hAnsi="Arial" w:eastAsia="Arial"/>
          <w:b w:val="0"/>
          <w:i w:val="0"/>
          <w:sz w:val="22"/>
        </w:rPr>
        <w:t xml:space="preserve"> necesarias para el seguimiento y las mesas de trabajo.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B3A5C"/>
          <w:sz w:val="24"/>
        </w:rPr>
        <w:t>3. Puntos tratados</w:t>
      </w:r>
    </w:p>
    <w:p>
      <w:pPr>
        <w:pStyle w:val="ListBullet"/>
      </w:pPr>
      <w:r>
        <w:rPr>
          <w:rFonts w:ascii="Arial" w:hAnsi="Arial" w:eastAsia="Arial"/>
          <w:b/>
          <w:i w:val="0"/>
          <w:sz w:val="22"/>
        </w:rPr>
        <w:t>Contexto (13-04-2026):</w:t>
      </w:r>
      <w:r>
        <w:rPr>
          <w:rFonts w:ascii="Arial" w:hAnsi="Arial" w:eastAsia="Arial"/>
          <w:b w:val="0"/>
          <w:i w:val="0"/>
          <w:sz w:val="22"/>
        </w:rPr>
        <w:t xml:space="preserve"> en la sesión previa se priorizó el cierre de reportes e insumos en el contexto de las </w:t>
      </w:r>
      <w:r>
        <w:rPr>
          <w:rFonts w:ascii="Arial" w:hAnsi="Arial" w:eastAsia="Arial"/>
          <w:b/>
          <w:i w:val="0"/>
          <w:sz w:val="22"/>
        </w:rPr>
        <w:t>inspecciones SUDEASEG</w:t>
      </w:r>
      <w:r>
        <w:rPr>
          <w:rFonts w:ascii="Arial" w:hAnsi="Arial" w:eastAsia="Arial"/>
          <w:b w:val="0"/>
          <w:i w:val="0"/>
          <w:sz w:val="22"/>
        </w:rPr>
        <w:t xml:space="preserve"> y se fijó este </w:t>
      </w:r>
      <w:r>
        <w:rPr>
          <w:rFonts w:ascii="Arial" w:hAnsi="Arial" w:eastAsia="Arial"/>
          <w:b/>
          <w:i w:val="0"/>
          <w:sz w:val="22"/>
        </w:rPr>
        <w:t>seguimiento</w:t>
      </w:r>
      <w:r>
        <w:rPr>
          <w:rFonts w:ascii="Arial" w:hAnsi="Arial" w:eastAsia="Arial"/>
          <w:b w:val="0"/>
          <w:i w:val="0"/>
          <w:sz w:val="22"/>
        </w:rPr>
        <w:t xml:space="preserve"> para avanzar en </w:t>
      </w:r>
      <w:r>
        <w:rPr>
          <w:rFonts w:ascii="Arial" w:hAnsi="Arial" w:eastAsia="Arial"/>
          <w:b/>
          <w:i w:val="0"/>
          <w:sz w:val="22"/>
        </w:rPr>
        <w:t>recaudos</w:t>
      </w:r>
      <w:r>
        <w:rPr>
          <w:rFonts w:ascii="Arial" w:hAnsi="Arial" w:eastAsia="Arial"/>
          <w:b w:val="0"/>
          <w:i w:val="0"/>
          <w:sz w:val="22"/>
        </w:rPr>
        <w:t xml:space="preserve"> y en el uso de la </w:t>
      </w:r>
      <w:r>
        <w:rPr>
          <w:rFonts w:ascii="Arial" w:hAnsi="Arial" w:eastAsia="Arial"/>
          <w:b/>
          <w:i w:val="0"/>
          <w:sz w:val="22"/>
        </w:rPr>
        <w:t>información disponible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 w:eastAsia="Arial"/>
          <w:b/>
          <w:i w:val="0"/>
          <w:sz w:val="22"/>
        </w:rPr>
        <w:t>Revisión de insumos remitidos:</w:t>
      </w:r>
      <w:r>
        <w:rPr>
          <w:rFonts w:ascii="Arial" w:hAnsi="Arial" w:eastAsia="Arial"/>
          <w:b w:val="0"/>
          <w:i w:val="0"/>
          <w:sz w:val="22"/>
        </w:rPr>
        <w:t xml:space="preserve"> se comenzó el repaso de la documentación enviada por la gerencia actuarial, que se organiza en tres bloques de contenido:</w:t>
      </w:r>
    </w:p>
    <w:p>
      <w:pPr>
        <w:pStyle w:val="ListNumber"/>
      </w:pPr>
      <w:r>
        <w:rPr>
          <w:rFonts w:ascii="Arial" w:hAnsi="Arial" w:eastAsia="Arial"/>
          <w:b/>
          <w:i w:val="0"/>
          <w:sz w:val="22"/>
        </w:rPr>
        <w:t>Paquete de reportes de gestión al cierre de diciembre 2025:</w:t>
      </w:r>
      <w:r>
        <w:rPr>
          <w:rFonts w:ascii="Arial" w:hAnsi="Arial" w:eastAsia="Arial"/>
          <w:b w:val="0"/>
          <w:i w:val="0"/>
          <w:sz w:val="22"/>
        </w:rPr>
        <w:t xml:space="preserve"> conjunto de libros que cubren </w:t>
      </w:r>
      <w:r>
        <w:rPr>
          <w:rFonts w:ascii="Arial" w:hAnsi="Arial" w:eastAsia="Arial"/>
          <w:b/>
          <w:i w:val="0"/>
          <w:sz w:val="22"/>
        </w:rPr>
        <w:t>gestión general</w:t>
      </w:r>
      <w:r>
        <w:rPr>
          <w:rFonts w:ascii="Arial" w:hAnsi="Arial" w:eastAsia="Arial"/>
          <w:b w:val="0"/>
          <w:i w:val="0"/>
          <w:sz w:val="22"/>
        </w:rPr>
        <w:t xml:space="preserve"> del negocio (seguimiento en bolívares y en moneda extranjera, </w:t>
      </w:r>
      <w:r>
        <w:rPr>
          <w:rFonts w:ascii="Arial" w:hAnsi="Arial" w:eastAsia="Arial"/>
          <w:b/>
          <w:i w:val="0"/>
          <w:sz w:val="22"/>
        </w:rPr>
        <w:t>comparativos</w:t>
      </w:r>
      <w:r>
        <w:rPr>
          <w:rFonts w:ascii="Arial" w:hAnsi="Arial" w:eastAsia="Arial"/>
          <w:b w:val="0"/>
          <w:i w:val="0"/>
          <w:sz w:val="22"/>
        </w:rPr>
        <w:t xml:space="preserve"> entre ejercicios y seguimiento de </w:t>
      </w:r>
      <w:r>
        <w:rPr>
          <w:rFonts w:ascii="Arial" w:hAnsi="Arial" w:eastAsia="Arial"/>
          <w:b/>
          <w:i w:val="0"/>
          <w:sz w:val="22"/>
        </w:rPr>
        <w:t>primas frente a presupuesto</w:t>
      </w:r>
      <w:r>
        <w:rPr>
          <w:rFonts w:ascii="Arial" w:hAnsi="Arial" w:eastAsia="Arial"/>
          <w:b w:val="0"/>
          <w:i w:val="0"/>
          <w:sz w:val="22"/>
        </w:rPr>
        <w:t xml:space="preserve">); </w:t>
      </w:r>
      <w:r>
        <w:rPr>
          <w:rFonts w:ascii="Arial" w:hAnsi="Arial" w:eastAsia="Arial"/>
          <w:b/>
          <w:i w:val="0"/>
          <w:sz w:val="22"/>
        </w:rPr>
        <w:t>inventario de pólizas</w:t>
      </w:r>
      <w:r>
        <w:rPr>
          <w:rFonts w:ascii="Arial" w:hAnsi="Arial" w:eastAsia="Arial"/>
          <w:b w:val="0"/>
          <w:i w:val="0"/>
          <w:sz w:val="22"/>
        </w:rPr>
        <w:t xml:space="preserve"> por áreas y ramos (incluidos salud, automóvil y patrimoniales); </w:t>
      </w:r>
      <w:r>
        <w:rPr>
          <w:rFonts w:ascii="Arial" w:hAnsi="Arial" w:eastAsia="Arial"/>
          <w:b/>
          <w:i w:val="0"/>
          <w:sz w:val="22"/>
        </w:rPr>
        <w:t>siniestralidad y tableros de salud</w:t>
      </w:r>
      <w:r>
        <w:rPr>
          <w:rFonts w:ascii="Arial" w:hAnsi="Arial" w:eastAsia="Arial"/>
          <w:b w:val="0"/>
          <w:i w:val="0"/>
          <w:sz w:val="22"/>
        </w:rPr>
        <w:t xml:space="preserve"> por segmentos de producto (colectivo, individual y distintos niveles de plan); </w:t>
      </w:r>
      <w:r>
        <w:rPr>
          <w:rFonts w:ascii="Arial" w:hAnsi="Arial" w:eastAsia="Arial"/>
          <w:b/>
          <w:i w:val="0"/>
          <w:sz w:val="22"/>
        </w:rPr>
        <w:t>estadística y siniestralidad de automóvil</w:t>
      </w:r>
      <w:r>
        <w:rPr>
          <w:rFonts w:ascii="Arial" w:hAnsi="Arial" w:eastAsia="Arial"/>
          <w:b w:val="0"/>
          <w:i w:val="0"/>
          <w:sz w:val="22"/>
        </w:rPr>
        <w:t xml:space="preserve"> (incluida cartera de responsabilidad civil vehicular y seguimiento en dólares donde corresponda); y </w:t>
      </w:r>
      <w:r>
        <w:rPr>
          <w:rFonts w:ascii="Arial" w:hAnsi="Arial" w:eastAsia="Arial"/>
          <w:b/>
          <w:i w:val="0"/>
          <w:sz w:val="22"/>
        </w:rPr>
        <w:t>siniestralidad de intermediarios</w:t>
      </w:r>
      <w:r>
        <w:rPr>
          <w:rFonts w:ascii="Arial" w:hAnsi="Arial" w:eastAsia="Arial"/>
          <w:b w:val="0"/>
          <w:i w:val="0"/>
          <w:sz w:val="22"/>
        </w:rPr>
        <w:t xml:space="preserve"> desagregada </w:t>
      </w:r>
      <w:r>
        <w:rPr>
          <w:rFonts w:ascii="Arial" w:hAnsi="Arial" w:eastAsia="Arial"/>
          <w:b/>
          <w:i w:val="0"/>
          <w:sz w:val="22"/>
        </w:rPr>
        <w:t>por ramo</w:t>
      </w:r>
      <w:r>
        <w:rPr>
          <w:rFonts w:ascii="Arial" w:hAnsi="Arial" w:eastAsia="Arial"/>
          <w:b w:val="0"/>
          <w:i w:val="0"/>
          <w:sz w:val="22"/>
        </w:rPr>
        <w:t xml:space="preserve"> (automóvil, fianzas, patrimoniales y personas), con vistas en moneda local y en dólares según el caso.</w:t>
      </w:r>
    </w:p>
    <w:p>
      <w:pPr>
        <w:pStyle w:val="ListNumber"/>
      </w:pPr>
      <w:r>
        <w:rPr>
          <w:rFonts w:ascii="Arial" w:hAnsi="Arial" w:eastAsia="Arial"/>
          <w:b/>
          <w:i w:val="0"/>
          <w:sz w:val="22"/>
        </w:rPr>
        <w:t>Paquete de reportes de gestión al cierre de marzo 2026:</w:t>
      </w:r>
      <w:r>
        <w:rPr>
          <w:rFonts w:ascii="Arial" w:hAnsi="Arial" w:eastAsia="Arial"/>
          <w:b w:val="0"/>
          <w:i w:val="0"/>
          <w:sz w:val="22"/>
        </w:rPr>
        <w:t xml:space="preserve"> misma </w:t>
      </w:r>
      <w:r>
        <w:rPr>
          <w:rFonts w:ascii="Arial" w:hAnsi="Arial" w:eastAsia="Arial"/>
          <w:b/>
          <w:i w:val="0"/>
          <w:sz w:val="22"/>
        </w:rPr>
        <w:t>lógica de reportería</w:t>
      </w:r>
      <w:r>
        <w:rPr>
          <w:rFonts w:ascii="Arial" w:hAnsi="Arial" w:eastAsia="Arial"/>
          <w:b w:val="0"/>
          <w:i w:val="0"/>
          <w:sz w:val="22"/>
        </w:rPr>
        <w:t xml:space="preserve"> que el paquete anterior, actualizada al </w:t>
      </w:r>
      <w:r>
        <w:rPr>
          <w:rFonts w:ascii="Arial" w:hAnsi="Arial" w:eastAsia="Arial"/>
          <w:b/>
          <w:i w:val="0"/>
          <w:sz w:val="22"/>
        </w:rPr>
        <w:t>último mes cerrado</w:t>
      </w:r>
      <w:r>
        <w:rPr>
          <w:rFonts w:ascii="Arial" w:hAnsi="Arial" w:eastAsia="Arial"/>
          <w:b w:val="0"/>
          <w:i w:val="0"/>
          <w:sz w:val="22"/>
        </w:rPr>
        <w:t xml:space="preserve">: gestión general, inventario de pólizas, salud con tableros por segmento, automóvil al cierre del mes e intermediarios por ramo, manteniendo el enfoque en </w:t>
      </w:r>
      <w:r>
        <w:rPr>
          <w:rFonts w:ascii="Arial" w:hAnsi="Arial" w:eastAsia="Arial"/>
          <w:b/>
          <w:i w:val="0"/>
          <w:sz w:val="22"/>
        </w:rPr>
        <w:t>operación, cartera y siniestralidad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Arial" w:hAnsi="Arial" w:eastAsia="Arial"/>
          <w:b/>
          <w:i w:val="0"/>
          <w:sz w:val="22"/>
        </w:rPr>
        <w:t>Documento descriptivo de productos y servicios:</w:t>
      </w:r>
      <w:r>
        <w:rPr>
          <w:rFonts w:ascii="Arial" w:hAnsi="Arial" w:eastAsia="Arial"/>
          <w:b w:val="0"/>
          <w:i w:val="0"/>
          <w:sz w:val="22"/>
        </w:rPr>
        <w:t xml:space="preserve"> texto de referencia </w:t>
      </w:r>
      <w:r>
        <w:rPr>
          <w:rFonts w:ascii="Arial" w:hAnsi="Arial" w:eastAsia="Arial"/>
          <w:b/>
          <w:i w:val="0"/>
          <w:sz w:val="22"/>
        </w:rPr>
        <w:t>por ramos</w:t>
      </w:r>
      <w:r>
        <w:rPr>
          <w:rFonts w:ascii="Arial" w:hAnsi="Arial" w:eastAsia="Arial"/>
          <w:b w:val="0"/>
          <w:i w:val="0"/>
          <w:sz w:val="22"/>
        </w:rPr>
        <w:t xml:space="preserve">, con detalle de </w:t>
      </w:r>
      <w:r>
        <w:rPr>
          <w:rFonts w:ascii="Arial" w:hAnsi="Arial" w:eastAsia="Arial"/>
          <w:b/>
          <w:i w:val="0"/>
          <w:sz w:val="22"/>
        </w:rPr>
        <w:t>oferta de salud</w:t>
      </w:r>
      <w:r>
        <w:rPr>
          <w:rFonts w:ascii="Arial" w:hAnsi="Arial" w:eastAsia="Arial"/>
          <w:b w:val="0"/>
          <w:i w:val="0"/>
          <w:sz w:val="22"/>
        </w:rPr>
        <w:t xml:space="preserve"> (individual, colectivo y líneas con </w:t>
      </w:r>
      <w:r>
        <w:rPr>
          <w:rFonts w:ascii="Arial" w:hAnsi="Arial" w:eastAsia="Arial"/>
          <w:b/>
          <w:i w:val="0"/>
          <w:sz w:val="22"/>
        </w:rPr>
        <w:t>cobertura internacional</w:t>
      </w:r>
      <w:r>
        <w:rPr>
          <w:rFonts w:ascii="Arial" w:hAnsi="Arial" w:eastAsia="Arial"/>
          <w:b w:val="0"/>
          <w:i w:val="0"/>
          <w:sz w:val="22"/>
        </w:rPr>
        <w:t xml:space="preserve">), descripción de </w:t>
      </w:r>
      <w:r>
        <w:rPr>
          <w:rFonts w:ascii="Arial" w:hAnsi="Arial" w:eastAsia="Arial"/>
          <w:b/>
          <w:i w:val="0"/>
          <w:sz w:val="22"/>
        </w:rPr>
        <w:t>coberturas</w:t>
      </w:r>
      <w:r>
        <w:rPr>
          <w:rFonts w:ascii="Arial" w:hAnsi="Arial" w:eastAsia="Arial"/>
          <w:b w:val="0"/>
          <w:i w:val="0"/>
          <w:sz w:val="22"/>
        </w:rPr>
        <w:t xml:space="preserve">, beneficios, requisitos, vigencias y modalidades de pago, además de la </w:t>
      </w:r>
      <w:r>
        <w:rPr>
          <w:rFonts w:ascii="Arial" w:hAnsi="Arial" w:eastAsia="Arial"/>
          <w:b/>
          <w:i w:val="0"/>
          <w:sz w:val="22"/>
        </w:rPr>
        <w:t>trazabilidad</w:t>
      </w:r>
      <w:r>
        <w:rPr>
          <w:rFonts w:ascii="Arial" w:hAnsi="Arial" w:eastAsia="Arial"/>
          <w:b w:val="0"/>
          <w:i w:val="0"/>
          <w:sz w:val="22"/>
        </w:rPr>
        <w:t xml:space="preserve"> de elaboración, revisión y aprobación interna. Sirve para </w:t>
      </w:r>
      <w:r>
        <w:rPr>
          <w:rFonts w:ascii="Arial" w:hAnsi="Arial" w:eastAsia="Arial"/>
          <w:b/>
          <w:i w:val="0"/>
          <w:sz w:val="22"/>
        </w:rPr>
        <w:t>alinear</w:t>
      </w:r>
      <w:r>
        <w:rPr>
          <w:rFonts w:ascii="Arial" w:hAnsi="Arial" w:eastAsia="Arial"/>
          <w:b w:val="0"/>
          <w:i w:val="0"/>
          <w:sz w:val="22"/>
        </w:rPr>
        <w:t xml:space="preserve"> lo tratado en mesa con el </w:t>
      </w:r>
      <w:r>
        <w:rPr>
          <w:rFonts w:ascii="Arial" w:hAnsi="Arial" w:eastAsia="Arial"/>
          <w:b/>
          <w:i w:val="0"/>
          <w:sz w:val="22"/>
        </w:rPr>
        <w:t>detalle por escrito</w:t>
      </w:r>
      <w:r>
        <w:rPr>
          <w:rFonts w:ascii="Arial" w:hAnsi="Arial" w:eastAsia="Arial"/>
          <w:b w:val="0"/>
          <w:i w:val="0"/>
          <w:sz w:val="22"/>
        </w:rPr>
        <w:t xml:space="preserve"> de la oferta.</w:t>
      </w:r>
    </w:p>
    <w:p>
      <w:pPr>
        <w:pStyle w:val="ListBullet"/>
      </w:pPr>
      <w:r>
        <w:rPr>
          <w:rFonts w:ascii="Arial" w:hAnsi="Arial" w:eastAsia="Arial"/>
          <w:b/>
          <w:i w:val="0"/>
          <w:sz w:val="22"/>
        </w:rPr>
        <w:t>Estado de la revisión:</w:t>
      </w:r>
      <w:r>
        <w:rPr>
          <w:rFonts w:ascii="Arial" w:hAnsi="Arial" w:eastAsia="Arial"/>
          <w:b w:val="0"/>
          <w:i w:val="0"/>
          <w:sz w:val="22"/>
        </w:rPr>
        <w:t xml:space="preserve"> la revisión de estos bloques se </w:t>
      </w:r>
      <w:r>
        <w:rPr>
          <w:rFonts w:ascii="Arial" w:hAnsi="Arial" w:eastAsia="Arial"/>
          <w:b/>
          <w:i w:val="0"/>
          <w:sz w:val="22"/>
        </w:rPr>
        <w:t>inició</w:t>
      </w:r>
      <w:r>
        <w:rPr>
          <w:rFonts w:ascii="Arial" w:hAnsi="Arial" w:eastAsia="Arial"/>
          <w:b w:val="0"/>
          <w:i w:val="0"/>
          <w:sz w:val="22"/>
        </w:rPr>
        <w:t xml:space="preserve"> en la fecha; </w:t>
      </w:r>
      <w:r>
        <w:rPr>
          <w:rFonts w:ascii="Arial" w:hAnsi="Arial" w:eastAsia="Arial"/>
          <w:b/>
          <w:i w:val="0"/>
          <w:sz w:val="22"/>
        </w:rPr>
        <w:t>no se cerró</w:t>
      </w:r>
      <w:r>
        <w:rPr>
          <w:rFonts w:ascii="Arial" w:hAnsi="Arial" w:eastAsia="Arial"/>
          <w:b w:val="0"/>
          <w:i w:val="0"/>
          <w:sz w:val="22"/>
        </w:rPr>
        <w:t xml:space="preserve"> aún el análisis integral (cruces, observaciones y vínculo completo con la </w:t>
      </w:r>
      <w:r>
        <w:rPr>
          <w:rFonts w:ascii="Arial" w:hAnsi="Arial" w:eastAsia="Arial"/>
          <w:b/>
          <w:i w:val="0"/>
          <w:sz w:val="22"/>
        </w:rPr>
        <w:t>lista de recaudos</w:t>
      </w:r>
      <w:r>
        <w:rPr>
          <w:rFonts w:ascii="Arial" w:hAnsi="Arial" w:eastAsia="Arial"/>
          <w:b w:val="0"/>
          <w:i w:val="0"/>
          <w:sz w:val="22"/>
        </w:rPr>
        <w:t xml:space="preserve">), lo cual continuará según disponibilidad operativa y el calendario vinculado a </w:t>
      </w:r>
      <w:r>
        <w:rPr>
          <w:rFonts w:ascii="Arial" w:hAnsi="Arial" w:eastAsia="Arial"/>
          <w:b/>
          <w:i w:val="0"/>
          <w:sz w:val="22"/>
        </w:rPr>
        <w:t>SUDEASEG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 w:eastAsia="Arial"/>
          <w:b/>
          <w:i w:val="0"/>
          <w:sz w:val="22"/>
        </w:rPr>
        <w:t>Infraestructura de acceso:</w:t>
      </w:r>
      <w:r>
        <w:rPr>
          <w:rFonts w:ascii="Arial" w:hAnsi="Arial" w:eastAsia="Arial"/>
          <w:b w:val="0"/>
          <w:i w:val="0"/>
          <w:sz w:val="22"/>
        </w:rPr>
        <w:t xml:space="preserve"> se </w:t>
      </w:r>
      <w:r>
        <w:rPr>
          <w:rFonts w:ascii="Arial" w:hAnsi="Arial" w:eastAsia="Arial"/>
          <w:b/>
          <w:i w:val="0"/>
          <w:sz w:val="22"/>
        </w:rPr>
        <w:t>verificó el funcionamiento de la VPN</w:t>
      </w:r>
      <w:r>
        <w:rPr>
          <w:rFonts w:ascii="Arial" w:hAnsi="Arial" w:eastAsia="Arial"/>
          <w:b w:val="0"/>
          <w:i w:val="0"/>
          <w:sz w:val="22"/>
        </w:rPr>
        <w:t xml:space="preserve"> y se </w:t>
      </w:r>
      <w:r>
        <w:rPr>
          <w:rFonts w:ascii="Arial" w:hAnsi="Arial" w:eastAsia="Arial"/>
          <w:b/>
          <w:i w:val="0"/>
          <w:sz w:val="22"/>
        </w:rPr>
        <w:t>configuró o validó el acceso</w:t>
      </w:r>
      <w:r>
        <w:rPr>
          <w:rFonts w:ascii="Arial" w:hAnsi="Arial" w:eastAsia="Arial"/>
          <w:b w:val="0"/>
          <w:i w:val="0"/>
          <w:sz w:val="22"/>
        </w:rPr>
        <w:t xml:space="preserve"> a las </w:t>
      </w:r>
      <w:r>
        <w:rPr>
          <w:rFonts w:ascii="Arial" w:hAnsi="Arial" w:eastAsia="Arial"/>
          <w:b/>
          <w:i w:val="0"/>
          <w:sz w:val="22"/>
        </w:rPr>
        <w:t>carpetas compartidas</w:t>
      </w:r>
      <w:r>
        <w:rPr>
          <w:rFonts w:ascii="Arial" w:hAnsi="Arial" w:eastAsia="Arial"/>
          <w:b w:val="0"/>
          <w:i w:val="0"/>
          <w:sz w:val="22"/>
        </w:rPr>
        <w:t xml:space="preserve"> acordadas para consultar y trabajar con la documentación de gestión y reportería.</w:t>
      </w:r>
    </w:p>
    <w:p>
      <w:pPr>
        <w:pStyle w:val="ListBullet"/>
      </w:pPr>
      <w:r>
        <w:rPr>
          <w:rFonts w:ascii="Arial" w:hAnsi="Arial" w:eastAsia="Arial"/>
          <w:b/>
          <w:i w:val="0"/>
          <w:sz w:val="22"/>
        </w:rPr>
        <w:t>Calendario inmediato (inspecciones SUDEASEG y seguimiento POR):</w:t>
      </w:r>
      <w:r>
        <w:rPr>
          <w:rFonts w:ascii="Arial" w:hAnsi="Arial" w:eastAsia="Arial"/>
          <w:b w:val="0"/>
          <w:i w:val="0"/>
          <w:sz w:val="22"/>
        </w:rPr>
        <w:t xml:space="preserve"> en línea con lo ya comentado sobre </w:t>
      </w:r>
      <w:r>
        <w:rPr>
          <w:rFonts w:ascii="Arial" w:hAnsi="Arial" w:eastAsia="Arial"/>
          <w:b/>
          <w:i w:val="0"/>
          <w:sz w:val="22"/>
        </w:rPr>
        <w:t>inspecciones generales de SUDEASEG</w:t>
      </w:r>
      <w:r>
        <w:rPr>
          <w:rFonts w:ascii="Arial" w:hAnsi="Arial" w:eastAsia="Arial"/>
          <w:b w:val="0"/>
          <w:i w:val="0"/>
          <w:sz w:val="22"/>
        </w:rPr>
        <w:t xml:space="preserve"> en instalaciones, se prevé que </w:t>
      </w:r>
      <w:r>
        <w:rPr>
          <w:rFonts w:ascii="Arial" w:hAnsi="Arial" w:eastAsia="Arial"/>
          <w:b/>
          <w:i w:val="0"/>
          <w:sz w:val="22"/>
        </w:rPr>
        <w:t>miércoles 15 y jueves 16 de abril de 2026</w:t>
      </w:r>
      <w:r>
        <w:rPr>
          <w:rFonts w:ascii="Arial" w:hAnsi="Arial" w:eastAsia="Arial"/>
          <w:b w:val="0"/>
          <w:i w:val="0"/>
          <w:sz w:val="22"/>
        </w:rPr>
        <w:t xml:space="preserve"> concentren la actividad de inspección. En ese marco, </w:t>
      </w:r>
      <w:r>
        <w:rPr>
          <w:rFonts w:ascii="Arial" w:hAnsi="Arial" w:eastAsia="Arial"/>
          <w:b/>
          <w:i w:val="0"/>
          <w:sz w:val="22"/>
        </w:rPr>
        <w:t>Angel Colmenares</w:t>
      </w:r>
      <w:r>
        <w:rPr>
          <w:rFonts w:ascii="Arial" w:hAnsi="Arial" w:eastAsia="Arial"/>
          <w:b w:val="0"/>
          <w:i w:val="0"/>
          <w:sz w:val="22"/>
        </w:rPr>
        <w:t xml:space="preserve"> dedicará el </w:t>
      </w:r>
      <w:r>
        <w:rPr>
          <w:rFonts w:ascii="Arial" w:hAnsi="Arial" w:eastAsia="Arial"/>
          <w:b/>
          <w:i w:val="0"/>
          <w:sz w:val="22"/>
        </w:rPr>
        <w:t>miércoles 15 y el jueves 16</w:t>
      </w:r>
      <w:r>
        <w:rPr>
          <w:rFonts w:ascii="Arial" w:hAnsi="Arial" w:eastAsia="Arial"/>
          <w:b w:val="0"/>
          <w:i w:val="0"/>
          <w:sz w:val="22"/>
        </w:rPr>
        <w:t xml:space="preserve"> a </w:t>
      </w:r>
      <w:r>
        <w:rPr>
          <w:rFonts w:ascii="Arial" w:hAnsi="Arial" w:eastAsia="Arial"/>
          <w:b/>
          <w:i w:val="0"/>
          <w:sz w:val="22"/>
        </w:rPr>
        <w:t>revisar en profundidad</w:t>
      </w:r>
      <w:r>
        <w:rPr>
          <w:rFonts w:ascii="Arial" w:hAnsi="Arial" w:eastAsia="Arial"/>
          <w:b w:val="0"/>
          <w:i w:val="0"/>
          <w:sz w:val="22"/>
        </w:rPr>
        <w:t xml:space="preserve"> la </w:t>
      </w:r>
      <w:r>
        <w:rPr>
          <w:rFonts w:ascii="Arial" w:hAnsi="Arial" w:eastAsia="Arial"/>
          <w:b/>
          <w:i w:val="0"/>
          <w:sz w:val="22"/>
        </w:rPr>
        <w:t>información remitida</w:t>
      </w:r>
      <w:r>
        <w:rPr>
          <w:rFonts w:ascii="Arial" w:hAnsi="Arial" w:eastAsia="Arial"/>
          <w:b w:val="0"/>
          <w:i w:val="0"/>
          <w:sz w:val="22"/>
        </w:rPr>
        <w:t xml:space="preserve"> por Gerencia Actuarial (incluidos los insumos ya recibidos), para </w:t>
      </w:r>
      <w:r>
        <w:rPr>
          <w:rFonts w:ascii="Arial" w:hAnsi="Arial" w:eastAsia="Arial"/>
          <w:b/>
          <w:i w:val="0"/>
          <w:sz w:val="22"/>
        </w:rPr>
        <w:t>elaborar un primer informe</w:t>
      </w:r>
      <w:r>
        <w:rPr>
          <w:rFonts w:ascii="Arial" w:hAnsi="Arial" w:eastAsia="Arial"/>
          <w:b w:val="0"/>
          <w:i w:val="0"/>
          <w:sz w:val="22"/>
        </w:rPr>
        <w:t xml:space="preserve"> y </w:t>
      </w:r>
      <w:r>
        <w:rPr>
          <w:rFonts w:ascii="Arial" w:hAnsi="Arial" w:eastAsia="Arial"/>
          <w:b/>
          <w:i w:val="0"/>
          <w:sz w:val="22"/>
        </w:rPr>
        <w:t>presentarlo el viernes</w:t>
      </w:r>
      <w:r>
        <w:rPr>
          <w:rFonts w:ascii="Arial" w:hAnsi="Arial" w:eastAsia="Arial"/>
          <w:b w:val="0"/>
          <w:i w:val="0"/>
          <w:sz w:val="22"/>
        </w:rPr>
        <w:t xml:space="preserve"> ante el </w:t>
      </w:r>
      <w:r>
        <w:rPr>
          <w:rFonts w:ascii="Arial" w:hAnsi="Arial" w:eastAsia="Arial"/>
          <w:b/>
          <w:i w:val="0"/>
          <w:sz w:val="22"/>
        </w:rPr>
        <w:t>nuevo accionista</w:t>
      </w:r>
      <w:r>
        <w:rPr>
          <w:rFonts w:ascii="Arial" w:hAnsi="Arial" w:eastAsia="Arial"/>
          <w:b w:val="0"/>
          <w:i w:val="0"/>
          <w:sz w:val="22"/>
        </w:rPr>
        <w:t xml:space="preserve"> de la compañía, en coordinación con la </w:t>
      </w:r>
      <w:r>
        <w:rPr>
          <w:rFonts w:ascii="Arial" w:hAnsi="Arial" w:eastAsia="Arial"/>
          <w:b/>
          <w:i w:val="0"/>
          <w:sz w:val="22"/>
        </w:rPr>
        <w:t>líder del proyecto</w:t>
      </w:r>
      <w:r>
        <w:rPr>
          <w:rFonts w:ascii="Arial" w:hAnsi="Arial" w:eastAsia="Arial"/>
          <w:b w:val="0"/>
          <w:i w:val="0"/>
          <w:sz w:val="22"/>
        </w:rPr>
        <w:t xml:space="preserve">. La </w:t>
      </w:r>
      <w:r>
        <w:rPr>
          <w:rFonts w:ascii="Arial" w:hAnsi="Arial" w:eastAsia="Arial"/>
          <w:b/>
          <w:i w:val="0"/>
          <w:sz w:val="22"/>
        </w:rPr>
        <w:t>próxima reunión de mesa actuarial</w:t>
      </w:r>
      <w:r>
        <w:rPr>
          <w:rFonts w:ascii="Arial" w:hAnsi="Arial" w:eastAsia="Arial"/>
          <w:b w:val="0"/>
          <w:i w:val="0"/>
          <w:sz w:val="22"/>
        </w:rPr>
        <w:t xml:space="preserve"> quedó </w:t>
      </w:r>
      <w:r>
        <w:rPr>
          <w:rFonts w:ascii="Arial" w:hAnsi="Arial" w:eastAsia="Arial"/>
          <w:b/>
          <w:i w:val="0"/>
          <w:sz w:val="22"/>
        </w:rPr>
        <w:t>tentativamente</w:t>
      </w:r>
      <w:r>
        <w:rPr>
          <w:rFonts w:ascii="Arial" w:hAnsi="Arial" w:eastAsia="Arial"/>
          <w:b w:val="0"/>
          <w:i w:val="0"/>
          <w:sz w:val="22"/>
        </w:rPr>
        <w:t xml:space="preserve"> fijada para el </w:t>
      </w:r>
      <w:r>
        <w:rPr>
          <w:rFonts w:ascii="Arial" w:hAnsi="Arial" w:eastAsia="Arial"/>
          <w:b/>
          <w:i w:val="0"/>
          <w:sz w:val="22"/>
        </w:rPr>
        <w:t>viernes 17 de abril de 2026 a las 14:00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Arial" w:hAnsi="Arial" w:eastAsia="Arial"/>
          <w:b/>
          <w:i w:val="0"/>
          <w:sz w:val="22"/>
        </w:rPr>
        <w:t>una vez concluidas</w:t>
      </w:r>
      <w:r>
        <w:rPr>
          <w:rFonts w:ascii="Arial" w:hAnsi="Arial" w:eastAsia="Arial"/>
          <w:b w:val="0"/>
          <w:i w:val="0"/>
          <w:sz w:val="22"/>
        </w:rPr>
        <w:t xml:space="preserve"> las </w:t>
      </w:r>
      <w:r>
        <w:rPr>
          <w:rFonts w:ascii="Arial" w:hAnsi="Arial" w:eastAsia="Arial"/>
          <w:b/>
          <w:i w:val="0"/>
          <w:sz w:val="22"/>
        </w:rPr>
        <w:t>inspecciones generales de SUDEASEG</w:t>
      </w:r>
      <w:r>
        <w:rPr>
          <w:rFonts w:ascii="Arial" w:hAnsi="Arial" w:eastAsia="Arial"/>
          <w:b w:val="0"/>
          <w:i w:val="0"/>
          <w:sz w:val="22"/>
        </w:rPr>
        <w:t xml:space="preserve"> *(fecha y hora sujetas a confirmación según cierre real de la visita)*.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B3A5C"/>
          <w:sz w:val="24"/>
        </w:rPr>
        <w:t>4. Acuerdos</w:t>
      </w:r>
    </w:p>
    <w:p>
      <w:pPr>
        <w:pStyle w:val="ListNumber"/>
      </w:pPr>
      <w:r>
        <w:rPr>
          <w:rFonts w:ascii="Arial" w:hAnsi="Arial" w:eastAsia="Arial"/>
          <w:b/>
          <w:i w:val="0"/>
          <w:sz w:val="22"/>
        </w:rPr>
        <w:t>Continuar</w:t>
      </w:r>
      <w:r>
        <w:rPr>
          <w:rFonts w:ascii="Arial" w:hAnsi="Arial" w:eastAsia="Arial"/>
          <w:b w:val="0"/>
          <w:i w:val="0"/>
          <w:sz w:val="22"/>
        </w:rPr>
        <w:t xml:space="preserve"> la revisión de los </w:t>
      </w:r>
      <w:r>
        <w:rPr>
          <w:rFonts w:ascii="Arial" w:hAnsi="Arial" w:eastAsia="Arial"/>
          <w:b/>
          <w:i w:val="0"/>
          <w:sz w:val="22"/>
        </w:rPr>
        <w:t>dos paquetes de gestión</w:t>
      </w:r>
      <w:r>
        <w:rPr>
          <w:rFonts w:ascii="Arial" w:hAnsi="Arial" w:eastAsia="Arial"/>
          <w:b w:val="0"/>
          <w:i w:val="0"/>
          <w:sz w:val="22"/>
        </w:rPr>
        <w:t xml:space="preserve"> (cierres </w:t>
      </w:r>
      <w:r>
        <w:rPr>
          <w:rFonts w:ascii="Arial" w:hAnsi="Arial" w:eastAsia="Arial"/>
          <w:b/>
          <w:i w:val="0"/>
          <w:sz w:val="22"/>
        </w:rPr>
        <w:t>diciembre 2025</w:t>
      </w:r>
      <w:r>
        <w:rPr>
          <w:rFonts w:ascii="Arial" w:hAnsi="Arial" w:eastAsia="Arial"/>
          <w:b w:val="0"/>
          <w:i w:val="0"/>
          <w:sz w:val="22"/>
        </w:rPr>
        <w:t xml:space="preserve"> y </w:t>
      </w:r>
      <w:r>
        <w:rPr>
          <w:rFonts w:ascii="Arial" w:hAnsi="Arial" w:eastAsia="Arial"/>
          <w:b/>
          <w:i w:val="0"/>
          <w:sz w:val="22"/>
        </w:rPr>
        <w:t>marzo 2026</w:t>
      </w:r>
      <w:r>
        <w:rPr>
          <w:rFonts w:ascii="Arial" w:hAnsi="Arial" w:eastAsia="Arial"/>
          <w:b w:val="0"/>
          <w:i w:val="0"/>
          <w:sz w:val="22"/>
        </w:rPr>
        <w:t xml:space="preserve">) y del </w:t>
      </w:r>
      <w:r>
        <w:rPr>
          <w:rFonts w:ascii="Arial" w:hAnsi="Arial" w:eastAsia="Arial"/>
          <w:b/>
          <w:i w:val="0"/>
          <w:sz w:val="22"/>
        </w:rPr>
        <w:t>documento descriptivo de productos y servicios</w:t>
      </w:r>
      <w:r>
        <w:rPr>
          <w:rFonts w:ascii="Arial" w:hAnsi="Arial" w:eastAsia="Arial"/>
          <w:b w:val="0"/>
          <w:i w:val="0"/>
          <w:sz w:val="22"/>
        </w:rPr>
        <w:t xml:space="preserve">, documentando </w:t>
      </w:r>
      <w:r>
        <w:rPr>
          <w:rFonts w:ascii="Arial" w:hAnsi="Arial" w:eastAsia="Arial"/>
          <w:b/>
          <w:i w:val="0"/>
          <w:sz w:val="22"/>
        </w:rPr>
        <w:t>observaciones</w:t>
      </w:r>
      <w:r>
        <w:rPr>
          <w:rFonts w:ascii="Arial" w:hAnsi="Arial" w:eastAsia="Arial"/>
          <w:b w:val="0"/>
          <w:i w:val="0"/>
          <w:sz w:val="22"/>
        </w:rPr>
        <w:t xml:space="preserve"> y </w:t>
      </w:r>
      <w:r>
        <w:rPr>
          <w:rFonts w:ascii="Arial" w:hAnsi="Arial" w:eastAsia="Arial"/>
          <w:b/>
          <w:i w:val="0"/>
          <w:sz w:val="22"/>
        </w:rPr>
        <w:t>preguntas</w:t>
      </w:r>
      <w:r>
        <w:rPr>
          <w:rFonts w:ascii="Arial" w:hAnsi="Arial" w:eastAsia="Arial"/>
          <w:b w:val="0"/>
          <w:i w:val="0"/>
          <w:sz w:val="22"/>
        </w:rPr>
        <w:t xml:space="preserve"> para la mesa actuarial en el hilo de seguimiento del POR.</w:t>
      </w:r>
    </w:p>
    <w:p>
      <w:pPr>
        <w:pStyle w:val="ListNumber"/>
      </w:pPr>
      <w:r>
        <w:rPr>
          <w:rFonts w:ascii="Arial" w:hAnsi="Arial" w:eastAsia="Arial"/>
          <w:b/>
          <w:i w:val="0"/>
          <w:sz w:val="22"/>
        </w:rPr>
        <w:t>Utilizar</w:t>
      </w:r>
      <w:r>
        <w:rPr>
          <w:rFonts w:ascii="Arial" w:hAnsi="Arial" w:eastAsia="Arial"/>
          <w:b w:val="0"/>
          <w:i w:val="0"/>
          <w:sz w:val="22"/>
        </w:rPr>
        <w:t xml:space="preserve"> de forma estándar la </w:t>
      </w:r>
      <w:r>
        <w:rPr>
          <w:rFonts w:ascii="Arial" w:hAnsi="Arial" w:eastAsia="Arial"/>
          <w:b/>
          <w:i w:val="0"/>
          <w:sz w:val="22"/>
        </w:rPr>
        <w:t>VPN</w:t>
      </w:r>
      <w:r>
        <w:rPr>
          <w:rFonts w:ascii="Arial" w:hAnsi="Arial" w:eastAsia="Arial"/>
          <w:b w:val="0"/>
          <w:i w:val="0"/>
          <w:sz w:val="22"/>
        </w:rPr>
        <w:t xml:space="preserve"> y el acceso a </w:t>
      </w:r>
      <w:r>
        <w:rPr>
          <w:rFonts w:ascii="Arial" w:hAnsi="Arial" w:eastAsia="Arial"/>
          <w:b/>
          <w:i w:val="0"/>
          <w:sz w:val="22"/>
        </w:rPr>
        <w:t>carpetas compartidas</w:t>
      </w:r>
      <w:r>
        <w:rPr>
          <w:rFonts w:ascii="Arial" w:hAnsi="Arial" w:eastAsia="Arial"/>
          <w:b w:val="0"/>
          <w:i w:val="0"/>
          <w:sz w:val="22"/>
        </w:rPr>
        <w:t xml:space="preserve"> para el trabajo de reportería; </w:t>
      </w:r>
      <w:r>
        <w:rPr>
          <w:rFonts w:ascii="Arial" w:hAnsi="Arial" w:eastAsia="Arial"/>
          <w:b/>
          <w:i w:val="0"/>
          <w:sz w:val="22"/>
        </w:rPr>
        <w:t>escalar de inmediato</w:t>
      </w:r>
      <w:r>
        <w:rPr>
          <w:rFonts w:ascii="Arial" w:hAnsi="Arial" w:eastAsia="Arial"/>
          <w:b w:val="0"/>
          <w:i w:val="0"/>
          <w:sz w:val="22"/>
        </w:rPr>
        <w:t xml:space="preserve"> cualquier </w:t>
      </w:r>
      <w:r>
        <w:rPr>
          <w:rFonts w:ascii="Arial" w:hAnsi="Arial" w:eastAsia="Arial"/>
          <w:b/>
          <w:i w:val="0"/>
          <w:sz w:val="22"/>
        </w:rPr>
        <w:t>fallo de acceso</w:t>
      </w:r>
      <w:r>
        <w:rPr>
          <w:rFonts w:ascii="Arial" w:hAnsi="Arial" w:eastAsia="Arial"/>
          <w:b w:val="0"/>
          <w:i w:val="0"/>
          <w:sz w:val="22"/>
        </w:rPr>
        <w:t xml:space="preserve"> o </w:t>
      </w:r>
      <w:r>
        <w:rPr>
          <w:rFonts w:ascii="Arial" w:hAnsi="Arial" w:eastAsia="Arial"/>
          <w:b/>
          <w:i w:val="0"/>
          <w:sz w:val="22"/>
        </w:rPr>
        <w:t>credencial</w:t>
      </w:r>
      <w:r>
        <w:rPr>
          <w:rFonts w:ascii="Arial" w:hAnsi="Arial" w:eastAsia="Arial"/>
          <w:b w:val="0"/>
          <w:i w:val="0"/>
          <w:sz w:val="22"/>
        </w:rPr>
        <w:t xml:space="preserve"> al área correspondiente.</w:t>
      </w:r>
    </w:p>
    <w:p>
      <w:pPr>
        <w:pStyle w:val="ListNumber"/>
      </w:pPr>
      <w:r>
        <w:rPr>
          <w:rFonts w:ascii="Arial" w:hAnsi="Arial" w:eastAsia="Arial"/>
          <w:b/>
          <w:i w:val="0"/>
          <w:sz w:val="22"/>
        </w:rPr>
        <w:t>Alinear</w:t>
      </w:r>
      <w:r>
        <w:rPr>
          <w:rFonts w:ascii="Arial" w:hAnsi="Arial" w:eastAsia="Arial"/>
          <w:b w:val="0"/>
          <w:i w:val="0"/>
          <w:sz w:val="22"/>
        </w:rPr>
        <w:t xml:space="preserve"> progresivamente esta información con los </w:t>
      </w:r>
      <w:r>
        <w:rPr>
          <w:rFonts w:ascii="Arial" w:hAnsi="Arial" w:eastAsia="Arial"/>
          <w:b/>
          <w:i w:val="0"/>
          <w:sz w:val="22"/>
        </w:rPr>
        <w:t>entregables</w:t>
      </w:r>
      <w:r>
        <w:rPr>
          <w:rFonts w:ascii="Arial" w:hAnsi="Arial" w:eastAsia="Arial"/>
          <w:b w:val="0"/>
          <w:i w:val="0"/>
          <w:sz w:val="22"/>
        </w:rPr>
        <w:t xml:space="preserve"> y la </w:t>
      </w:r>
      <w:r>
        <w:rPr>
          <w:rFonts w:ascii="Arial" w:hAnsi="Arial" w:eastAsia="Arial"/>
          <w:b/>
          <w:i w:val="0"/>
          <w:sz w:val="22"/>
        </w:rPr>
        <w:t>lista de recaudos</w:t>
      </w:r>
      <w:r>
        <w:rPr>
          <w:rFonts w:ascii="Arial" w:hAnsi="Arial" w:eastAsia="Arial"/>
          <w:b w:val="0"/>
          <w:i w:val="0"/>
          <w:sz w:val="22"/>
        </w:rPr>
        <w:t xml:space="preserve">, sin perder de vista las prioridades ligadas a </w:t>
      </w:r>
      <w:r>
        <w:rPr>
          <w:rFonts w:ascii="Arial" w:hAnsi="Arial" w:eastAsia="Arial"/>
          <w:b/>
          <w:i w:val="0"/>
          <w:sz w:val="22"/>
        </w:rPr>
        <w:t>SUDEASEG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Arial" w:hAnsi="Arial" w:eastAsia="Arial"/>
          <w:b/>
          <w:i w:val="0"/>
          <w:sz w:val="22"/>
        </w:rPr>
        <w:t>Revisión miércoles–jueves y primer informe:</w:t>
      </w:r>
      <w:r>
        <w:rPr>
          <w:rFonts w:ascii="Arial" w:hAnsi="Arial" w:eastAsia="Arial"/>
          <w:b w:val="0"/>
          <w:i w:val="0"/>
          <w:sz w:val="22"/>
        </w:rPr>
        <w:t xml:space="preserve"> los días </w:t>
      </w:r>
      <w:r>
        <w:rPr>
          <w:rFonts w:ascii="Arial" w:hAnsi="Arial" w:eastAsia="Arial"/>
          <w:b/>
          <w:i w:val="0"/>
          <w:sz w:val="22"/>
        </w:rPr>
        <w:t>15 y 16 de abril de 2026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Arial" w:hAnsi="Arial" w:eastAsia="Arial"/>
          <w:b/>
          <w:i w:val="0"/>
          <w:sz w:val="22"/>
        </w:rPr>
        <w:t>Angel Colmenares</w:t>
      </w:r>
      <w:r>
        <w:rPr>
          <w:rFonts w:ascii="Arial" w:hAnsi="Arial" w:eastAsia="Arial"/>
          <w:b w:val="0"/>
          <w:i w:val="0"/>
          <w:sz w:val="22"/>
        </w:rPr>
        <w:t xml:space="preserve"> revisa la </w:t>
      </w:r>
      <w:r>
        <w:rPr>
          <w:rFonts w:ascii="Arial" w:hAnsi="Arial" w:eastAsia="Arial"/>
          <w:b/>
          <w:i w:val="0"/>
          <w:sz w:val="22"/>
        </w:rPr>
        <w:t>información remitida</w:t>
      </w:r>
      <w:r>
        <w:rPr>
          <w:rFonts w:ascii="Arial" w:hAnsi="Arial" w:eastAsia="Arial"/>
          <w:b w:val="0"/>
          <w:i w:val="0"/>
          <w:sz w:val="22"/>
        </w:rPr>
        <w:t xml:space="preserve"> para consolidar un </w:t>
      </w:r>
      <w:r>
        <w:rPr>
          <w:rFonts w:ascii="Arial" w:hAnsi="Arial" w:eastAsia="Arial"/>
          <w:b/>
          <w:i w:val="0"/>
          <w:sz w:val="22"/>
        </w:rPr>
        <w:t>primer informe</w:t>
      </w:r>
      <w:r>
        <w:rPr>
          <w:rFonts w:ascii="Arial" w:hAnsi="Arial" w:eastAsia="Arial"/>
          <w:b w:val="0"/>
          <w:i w:val="0"/>
          <w:sz w:val="22"/>
        </w:rPr>
        <w:t xml:space="preserve"> a presentar el </w:t>
      </w:r>
      <w:r>
        <w:rPr>
          <w:rFonts w:ascii="Arial" w:hAnsi="Arial" w:eastAsia="Arial"/>
          <w:b/>
          <w:i w:val="0"/>
          <w:sz w:val="22"/>
        </w:rPr>
        <w:t>viernes 17 de abril de 2026</w:t>
      </w:r>
      <w:r>
        <w:rPr>
          <w:rFonts w:ascii="Arial" w:hAnsi="Arial" w:eastAsia="Arial"/>
          <w:b w:val="0"/>
          <w:i w:val="0"/>
          <w:sz w:val="22"/>
        </w:rPr>
        <w:t xml:space="preserve"> ante el </w:t>
      </w:r>
      <w:r>
        <w:rPr>
          <w:rFonts w:ascii="Arial" w:hAnsi="Arial" w:eastAsia="Arial"/>
          <w:b/>
          <w:i w:val="0"/>
          <w:sz w:val="22"/>
        </w:rPr>
        <w:t>nuevo accionista</w:t>
      </w:r>
      <w:r>
        <w:rPr>
          <w:rFonts w:ascii="Arial" w:hAnsi="Arial" w:eastAsia="Arial"/>
          <w:b w:val="0"/>
          <w:i w:val="0"/>
          <w:sz w:val="22"/>
        </w:rPr>
        <w:t xml:space="preserve"> de la compañía, con apoyo de la </w:t>
      </w:r>
      <w:r>
        <w:rPr>
          <w:rFonts w:ascii="Arial" w:hAnsi="Arial" w:eastAsia="Arial"/>
          <w:b/>
          <w:i w:val="0"/>
          <w:sz w:val="22"/>
        </w:rPr>
        <w:t>líder del proyecto</w:t>
      </w:r>
      <w:r>
        <w:rPr>
          <w:rFonts w:ascii="Arial" w:hAnsi="Arial" w:eastAsia="Arial"/>
          <w:b w:val="0"/>
          <w:i w:val="0"/>
          <w:sz w:val="22"/>
        </w:rPr>
        <w:t xml:space="preserve"> según el calendario de gobierno del POR.</w:t>
      </w:r>
    </w:p>
    <w:p>
      <w:pPr>
        <w:pStyle w:val="ListNumber"/>
      </w:pPr>
      <w:r>
        <w:rPr>
          <w:rFonts w:ascii="Arial" w:hAnsi="Arial" w:eastAsia="Arial"/>
          <w:b/>
          <w:i w:val="0"/>
          <w:sz w:val="22"/>
        </w:rPr>
        <w:t>Próxima mesa actuarial: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Arial" w:hAnsi="Arial" w:eastAsia="Arial"/>
          <w:b/>
          <w:i w:val="0"/>
          <w:sz w:val="22"/>
        </w:rPr>
        <w:t>tentativamente</w:t>
      </w:r>
      <w:r>
        <w:rPr>
          <w:rFonts w:ascii="Arial" w:hAnsi="Arial" w:eastAsia="Arial"/>
          <w:b w:val="0"/>
          <w:i w:val="0"/>
          <w:sz w:val="22"/>
        </w:rPr>
        <w:t xml:space="preserve"> el </w:t>
      </w:r>
      <w:r>
        <w:rPr>
          <w:rFonts w:ascii="Arial" w:hAnsi="Arial" w:eastAsia="Arial"/>
          <w:b/>
          <w:i w:val="0"/>
          <w:sz w:val="22"/>
        </w:rPr>
        <w:t>viernes 17 de abril de 2026 a las 14:00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Arial" w:hAnsi="Arial" w:eastAsia="Arial"/>
          <w:b/>
          <w:i w:val="0"/>
          <w:sz w:val="22"/>
        </w:rPr>
        <w:t>posterior</w:t>
      </w:r>
      <w:r>
        <w:rPr>
          <w:rFonts w:ascii="Arial" w:hAnsi="Arial" w:eastAsia="Arial"/>
          <w:b w:val="0"/>
          <w:i w:val="0"/>
          <w:sz w:val="22"/>
        </w:rPr>
        <w:t xml:space="preserve"> a la finalización de las </w:t>
      </w:r>
      <w:r>
        <w:rPr>
          <w:rFonts w:ascii="Arial" w:hAnsi="Arial" w:eastAsia="Arial"/>
          <w:b/>
          <w:i w:val="0"/>
          <w:sz w:val="22"/>
        </w:rPr>
        <w:t>inspecciones generales de SUDEASEG</w:t>
      </w:r>
      <w:r>
        <w:rPr>
          <w:rFonts w:ascii="Arial" w:hAnsi="Arial" w:eastAsia="Arial"/>
          <w:b w:val="0"/>
          <w:i w:val="0"/>
          <w:sz w:val="22"/>
        </w:rPr>
        <w:t xml:space="preserve"> *(confirmar según cierre de la visita)*.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B3A5C"/>
          <w:sz w:val="24"/>
        </w:rPr>
        <w:t>5. Referencias de insumos (descripción)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i w:val="0"/>
                <w:sz w:val="20"/>
              </w:rPr>
              <w:t>Bloque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i w:val="0"/>
                <w:sz w:val="20"/>
              </w:rPr>
              <w:t>Contenido remitido (resumen)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Gestión — cierre dic. 2025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Reportes de gestión general, inventario de pólizas, salud (tableros), automóvil, intermediarios por ramo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Gestión — cierre mar. 2026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Misma estructura de reportería, actualizada al mes cerrado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Oferta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Documento descriptivo de productos y servicios por ramo (énfasis en salud e internacional)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i w:val="0"/>
          <w:color w:val="1B3A5C"/>
          <w:sz w:val="24"/>
        </w:rPr>
        <w:t>6. Próxima sesión</w:t>
      </w:r>
    </w:p>
    <w:p>
      <w:pPr>
        <w:spacing w:after="120"/>
      </w:pPr>
      <w:r>
        <w:rPr>
          <w:rFonts w:ascii="Arial" w:hAnsi="Arial" w:eastAsia="Arial"/>
          <w:b/>
          <w:i w:val="0"/>
          <w:sz w:val="22"/>
        </w:rPr>
        <w:t>Mesa actuarial (seguimiento POR):</w:t>
      </w:r>
      <w:r>
        <w:rPr>
          <w:rFonts w:ascii="Arial" w:hAnsi="Arial" w:eastAsia="Arial"/>
          <w:b w:val="0"/>
          <w:i w:val="0"/>
          <w:sz w:val="22"/>
        </w:rPr>
        <w:t xml:space="preserve"> la sesión del </w:t>
      </w:r>
      <w:r>
        <w:rPr>
          <w:rFonts w:ascii="Arial" w:hAnsi="Arial" w:eastAsia="Arial"/>
          <w:b/>
          <w:i w:val="0"/>
          <w:sz w:val="22"/>
        </w:rPr>
        <w:t>14-04-2026</w:t>
      </w:r>
      <w:r>
        <w:rPr>
          <w:rFonts w:ascii="Arial" w:hAnsi="Arial" w:eastAsia="Arial"/>
          <w:b w:val="0"/>
          <w:i w:val="0"/>
          <w:sz w:val="22"/>
        </w:rPr>
        <w:t xml:space="preserve"> es la </w:t>
      </w:r>
      <w:r>
        <w:rPr>
          <w:rFonts w:ascii="Arial" w:hAnsi="Arial" w:eastAsia="Arial"/>
          <w:b/>
          <w:i w:val="0"/>
          <w:sz w:val="22"/>
        </w:rPr>
        <w:t>reunión de este acta</w:t>
      </w:r>
      <w:r>
        <w:rPr>
          <w:rFonts w:ascii="Arial" w:hAnsi="Arial" w:eastAsia="Arial"/>
          <w:b w:val="0"/>
          <w:i w:val="0"/>
          <w:sz w:val="22"/>
        </w:rPr>
        <w:t xml:space="preserve">. La </w:t>
      </w:r>
      <w:r>
        <w:rPr>
          <w:rFonts w:ascii="Arial" w:hAnsi="Arial" w:eastAsia="Arial"/>
          <w:b/>
          <w:i w:val="0"/>
          <w:sz w:val="22"/>
        </w:rPr>
        <w:t>siguiente</w:t>
      </w:r>
      <w:r>
        <w:rPr>
          <w:rFonts w:ascii="Arial" w:hAnsi="Arial" w:eastAsia="Arial"/>
          <w:b w:val="0"/>
          <w:i w:val="0"/>
          <w:sz w:val="22"/>
        </w:rPr>
        <w:t xml:space="preserve"> con la mesa actuarial quedó </w:t>
      </w:r>
      <w:r>
        <w:rPr>
          <w:rFonts w:ascii="Arial" w:hAnsi="Arial" w:eastAsia="Arial"/>
          <w:b/>
          <w:i w:val="0"/>
          <w:sz w:val="22"/>
        </w:rPr>
        <w:t>tentativamente</w:t>
      </w:r>
      <w:r>
        <w:rPr>
          <w:rFonts w:ascii="Arial" w:hAnsi="Arial" w:eastAsia="Arial"/>
          <w:b w:val="0"/>
          <w:i w:val="0"/>
          <w:sz w:val="22"/>
        </w:rPr>
        <w:t xml:space="preserve"> para el </w:t>
      </w:r>
      <w:r>
        <w:rPr>
          <w:rFonts w:ascii="Arial" w:hAnsi="Arial" w:eastAsia="Arial"/>
          <w:b/>
          <w:i w:val="0"/>
          <w:sz w:val="22"/>
        </w:rPr>
        <w:t>viernes 17 de abril de 2026 a las 14:00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Arial" w:hAnsi="Arial" w:eastAsia="Arial"/>
          <w:b/>
          <w:i w:val="0"/>
          <w:sz w:val="22"/>
        </w:rPr>
        <w:t>después</w:t>
      </w:r>
      <w:r>
        <w:rPr>
          <w:rFonts w:ascii="Arial" w:hAnsi="Arial" w:eastAsia="Arial"/>
          <w:b w:val="0"/>
          <w:i w:val="0"/>
          <w:sz w:val="22"/>
        </w:rPr>
        <w:t xml:space="preserve"> de que </w:t>
      </w:r>
      <w:r>
        <w:rPr>
          <w:rFonts w:ascii="Arial" w:hAnsi="Arial" w:eastAsia="Arial"/>
          <w:b/>
          <w:i w:val="0"/>
          <w:sz w:val="22"/>
        </w:rPr>
        <w:t>culminen las inspecciones generales de SUDEASEG</w:t>
      </w:r>
      <w:r>
        <w:rPr>
          <w:rFonts w:ascii="Arial" w:hAnsi="Arial" w:eastAsia="Arial"/>
          <w:b w:val="0"/>
          <w:i w:val="0"/>
          <w:sz w:val="22"/>
        </w:rPr>
        <w:t xml:space="preserve"> *(miércoles 15 y jueves 16 previstos para la visita en instalaciones; ajustar si el cierre operativo difiere)*. </w:t>
      </w:r>
      <w:r>
        <w:rPr>
          <w:rFonts w:ascii="Arial" w:hAnsi="Arial" w:eastAsia="Arial"/>
          <w:b/>
          <w:i w:val="0"/>
          <w:sz w:val="22"/>
        </w:rPr>
        <w:t>Enfoque previsto:</w:t>
      </w:r>
      <w:r>
        <w:rPr>
          <w:rFonts w:ascii="Arial" w:hAnsi="Arial" w:eastAsia="Arial"/>
          <w:b w:val="0"/>
          <w:i w:val="0"/>
          <w:sz w:val="22"/>
        </w:rPr>
        <w:t xml:space="preserve"> continuidad sobre paquetes de gestión, recaudos y preparación de entregables; </w:t>
      </w:r>
      <w:r>
        <w:rPr>
          <w:rFonts w:ascii="Arial" w:hAnsi="Arial" w:eastAsia="Arial"/>
          <w:b/>
          <w:i w:val="0"/>
          <w:sz w:val="22"/>
        </w:rPr>
        <w:t>presentación del primer informe</w:t>
      </w:r>
      <w:r>
        <w:rPr>
          <w:rFonts w:ascii="Arial" w:hAnsi="Arial" w:eastAsia="Arial"/>
          <w:b w:val="0"/>
          <w:i w:val="0"/>
          <w:sz w:val="22"/>
        </w:rPr>
        <w:t xml:space="preserve"> elaborado por </w:t>
      </w:r>
      <w:r>
        <w:rPr>
          <w:rFonts w:ascii="Arial" w:hAnsi="Arial" w:eastAsia="Arial"/>
          <w:b/>
          <w:i w:val="0"/>
          <w:sz w:val="22"/>
        </w:rPr>
        <w:t>Angel Colmenares</w:t>
      </w:r>
      <w:r>
        <w:rPr>
          <w:rFonts w:ascii="Arial" w:hAnsi="Arial" w:eastAsia="Arial"/>
          <w:b w:val="0"/>
          <w:i w:val="0"/>
          <w:sz w:val="22"/>
        </w:rPr>
        <w:t xml:space="preserve"> a partir de la revisión </w:t>
      </w:r>
      <w:r>
        <w:rPr>
          <w:rFonts w:ascii="Arial" w:hAnsi="Arial" w:eastAsia="Arial"/>
          <w:b/>
          <w:i w:val="0"/>
          <w:sz w:val="22"/>
        </w:rPr>
        <w:t>15–16</w:t>
      </w:r>
      <w:r>
        <w:rPr>
          <w:rFonts w:ascii="Arial" w:hAnsi="Arial" w:eastAsia="Arial"/>
          <w:b w:val="0"/>
          <w:i w:val="0"/>
          <w:sz w:val="22"/>
        </w:rPr>
        <w:t xml:space="preserve"> de abril.</w:t>
      </w:r>
    </w:p>
    <w:p>
      <w:pPr>
        <w:spacing w:after="120"/>
      </w:pPr>
      <w:r>
        <w:rPr>
          <w:rFonts w:ascii="Arial" w:hAnsi="Arial" w:eastAsia="Arial"/>
          <w:b/>
          <w:i w:val="0"/>
          <w:sz w:val="22"/>
        </w:rPr>
        <w:t>Instancia con el nuevo accionista:</w:t>
      </w:r>
      <w:r>
        <w:rPr>
          <w:rFonts w:ascii="Arial" w:hAnsi="Arial" w:eastAsia="Arial"/>
          <w:b w:val="0"/>
          <w:i w:val="0"/>
          <w:sz w:val="22"/>
        </w:rPr>
        <w:t xml:space="preserve"> el </w:t>
      </w:r>
      <w:r>
        <w:rPr>
          <w:rFonts w:ascii="Arial" w:hAnsi="Arial" w:eastAsia="Arial"/>
          <w:b/>
          <w:i w:val="0"/>
          <w:sz w:val="22"/>
        </w:rPr>
        <w:t>viernes 17-04-2026</w:t>
      </w:r>
      <w:r>
        <w:rPr>
          <w:rFonts w:ascii="Arial" w:hAnsi="Arial" w:eastAsia="Arial"/>
          <w:b w:val="0"/>
          <w:i w:val="0"/>
          <w:sz w:val="22"/>
        </w:rPr>
        <w:t xml:space="preserve"> se prevé la </w:t>
      </w:r>
      <w:r>
        <w:rPr>
          <w:rFonts w:ascii="Arial" w:hAnsi="Arial" w:eastAsia="Arial"/>
          <w:b/>
          <w:i w:val="0"/>
          <w:sz w:val="22"/>
        </w:rPr>
        <w:t>presentación del primer informe</w:t>
      </w:r>
      <w:r>
        <w:rPr>
          <w:rFonts w:ascii="Arial" w:hAnsi="Arial" w:eastAsia="Arial"/>
          <w:b w:val="0"/>
          <w:i w:val="0"/>
          <w:sz w:val="22"/>
        </w:rPr>
        <w:t xml:space="preserve"> ante el </w:t>
      </w:r>
      <w:r>
        <w:rPr>
          <w:rFonts w:ascii="Arial" w:hAnsi="Arial" w:eastAsia="Arial"/>
          <w:b/>
          <w:i w:val="0"/>
          <w:sz w:val="22"/>
        </w:rPr>
        <w:t>nuevo accionista</w:t>
      </w:r>
      <w:r>
        <w:rPr>
          <w:rFonts w:ascii="Arial" w:hAnsi="Arial" w:eastAsia="Arial"/>
          <w:b w:val="0"/>
          <w:i w:val="0"/>
          <w:sz w:val="22"/>
        </w:rPr>
        <w:t xml:space="preserve"> de la compañía, en el marco coordinado con la </w:t>
      </w:r>
      <w:r>
        <w:rPr>
          <w:rFonts w:ascii="Arial" w:hAnsi="Arial" w:eastAsia="Arial"/>
          <w:b/>
          <w:i w:val="0"/>
          <w:sz w:val="22"/>
        </w:rPr>
        <w:t>líder del proyecto</w:t>
      </w:r>
      <w:r>
        <w:rPr>
          <w:rFonts w:ascii="Arial" w:hAnsi="Arial" w:eastAsia="Arial"/>
          <w:b w:val="0"/>
          <w:i w:val="0"/>
          <w:sz w:val="22"/>
        </w:rPr>
        <w:t xml:space="preserve"> *(detalle de convocatoria y asistentes según confirme gobierno del POR)*.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Elaborado por: Angel Colmenares · Fecha de redacción: 2026-04-14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