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Arial"/>
          <w:b/>
          <w:i w:val="0"/>
          <w:color w:val="1B3A5C"/>
          <w:sz w:val="36"/>
        </w:rPr>
        <w:t>MINUTA DE REUNIÓN — MESA ACTUARIAL</w:t>
      </w:r>
    </w:p>
    <w:p>
      <w:pPr>
        <w:spacing w:after="120"/>
      </w:pPr>
      <w:r>
        <w:rPr>
          <w:rFonts w:ascii="Arial" w:hAnsi="Arial" w:eastAsia="Arial"/>
          <w:b/>
          <w:i w:val="0"/>
          <w:sz w:val="22"/>
        </w:rPr>
        <w:t>La Internacional de Seguros</w:t>
      </w:r>
      <w:r>
        <w:rPr>
          <w:rFonts w:ascii="Arial" w:hAnsi="Arial" w:eastAsia="Arial"/>
          <w:b w:val="0"/>
          <w:i w:val="0"/>
          <w:sz w:val="22"/>
        </w:rPr>
        <w:t xml:space="preserve"> · Reportería y seguimiento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i w:val="0"/>
                <w:sz w:val="20"/>
              </w:rPr>
              <w:t>Referencia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i w:val="0"/>
                <w:sz w:val="20"/>
              </w:rPr>
              <w:t>MIN-POR-ACT-20260414-01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Fecha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2026-04-14 *(ajustar si aplica)*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Lugar / modalidad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*(completar)*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Asunto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Presentación formal — Mesa Actuarial (visión general de la gerencia)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i w:val="0"/>
          <w:color w:val="1B3A5C"/>
          <w:sz w:val="24"/>
        </w:rPr>
        <w:t>1. Participantes de la reunión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i w:val="0"/>
                <w:sz w:val="20"/>
              </w:rPr>
              <w:t>Nombre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i w:val="0"/>
                <w:sz w:val="20"/>
              </w:rPr>
              <w:t>Cargo / representación en la sesión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Lic. Yaritza Oberto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Gerente Actuarial — Mesa Actuarial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Angel Colmenares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Seguimiento y reportería (Plan de Optimización y Rentabilidad 2026)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i w:val="0"/>
          <w:color w:val="1B3A5C"/>
          <w:sz w:val="24"/>
        </w:rPr>
        <w:t>2. Objeto de la sesión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 xml:space="preserve">Presentación formal ante la </w:t>
      </w:r>
      <w:r>
        <w:rPr>
          <w:rFonts w:ascii="Arial" w:hAnsi="Arial" w:eastAsia="Arial"/>
          <w:b/>
          <w:i w:val="0"/>
          <w:sz w:val="22"/>
        </w:rPr>
        <w:t>Lic. Yaritza Oberto</w:t>
      </w:r>
      <w:r>
        <w:rPr>
          <w:rFonts w:ascii="Arial" w:hAnsi="Arial" w:eastAsia="Arial"/>
          <w:b w:val="0"/>
          <w:i w:val="0"/>
          <w:sz w:val="22"/>
        </w:rPr>
        <w:t xml:space="preserve"> (Gerente Actuarial) y comprensión </w:t>
      </w:r>
      <w:r>
        <w:rPr>
          <w:rFonts w:ascii="Arial" w:hAnsi="Arial" w:eastAsia="Arial"/>
          <w:b/>
          <w:i w:val="0"/>
          <w:sz w:val="22"/>
        </w:rPr>
        <w:t>general</w:t>
      </w:r>
      <w:r>
        <w:rPr>
          <w:rFonts w:ascii="Arial" w:hAnsi="Arial" w:eastAsia="Arial"/>
          <w:b w:val="0"/>
          <w:i w:val="0"/>
          <w:sz w:val="22"/>
        </w:rPr>
        <w:t xml:space="preserve"> del funcionamiento de la gerencia. La agenda prevista era principalmente de </w:t>
      </w:r>
      <w:r>
        <w:rPr>
          <w:rFonts w:ascii="Arial" w:hAnsi="Arial" w:eastAsia="Arial"/>
          <w:b/>
          <w:i w:val="0"/>
          <w:sz w:val="22"/>
        </w:rPr>
        <w:t>presentación</w:t>
      </w:r>
      <w:r>
        <w:rPr>
          <w:rFonts w:ascii="Arial" w:hAnsi="Arial" w:eastAsia="Arial"/>
          <w:b w:val="0"/>
          <w:i w:val="0"/>
          <w:sz w:val="22"/>
        </w:rPr>
        <w:t xml:space="preserve">; se abordaron además temas que se </w:t>
      </w:r>
      <w:r>
        <w:rPr>
          <w:rFonts w:ascii="Arial" w:hAnsi="Arial" w:eastAsia="Arial"/>
          <w:b/>
          <w:i w:val="0"/>
          <w:sz w:val="22"/>
        </w:rPr>
        <w:t>profundizarán</w:t>
      </w:r>
      <w:r>
        <w:rPr>
          <w:rFonts w:ascii="Arial" w:hAnsi="Arial" w:eastAsia="Arial"/>
          <w:b w:val="0"/>
          <w:i w:val="0"/>
          <w:sz w:val="22"/>
        </w:rPr>
        <w:t xml:space="preserve"> en sesiones posteriores.</w:t>
      </w:r>
    </w:p>
    <w:p>
      <w:pPr>
        <w:pStyle w:val="Heading2"/>
      </w:pPr>
      <w:r>
        <w:rPr>
          <w:rFonts w:ascii="Arial" w:hAnsi="Arial" w:eastAsia="Arial"/>
          <w:b/>
          <w:i w:val="0"/>
          <w:color w:val="1B3A5C"/>
          <w:sz w:val="24"/>
        </w:rPr>
        <w:t>3. Equipo actuarial — roles (resumen)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i w:val="0"/>
                <w:sz w:val="20"/>
              </w:rPr>
              <w:t>Persona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i w:val="0"/>
                <w:sz w:val="20"/>
              </w:rPr>
              <w:t>Rol / enfoque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Yaritza Oberto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Gerencia actuarial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Karen Durán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Reportería generada por el core, procesamientos en Excel y R (perfil vinculado a menor experiencia en la asignación)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Gabriel Hernández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Diseño de nuevos productos y funciones de mayor seniority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Lic. Edgar Peláez (externo)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Apoyo en certificaciones</w:t>
            </w:r>
          </w:p>
        </w:tc>
      </w:tr>
    </w:tbl>
    <w:p/>
    <w:p>
      <w:pPr>
        <w:spacing w:after="120"/>
      </w:pPr>
      <w:r>
        <w:rPr>
          <w:rFonts w:ascii="Arial" w:hAnsi="Arial" w:eastAsia="Arial"/>
          <w:b/>
          <w:i w:val="0"/>
          <w:sz w:val="22"/>
        </w:rPr>
        <w:t>Reaseguro:</w:t>
      </w:r>
      <w:r>
        <w:rPr>
          <w:rFonts w:ascii="Arial" w:hAnsi="Arial" w:eastAsia="Arial"/>
          <w:b w:val="0"/>
          <w:i w:val="0"/>
          <w:sz w:val="22"/>
        </w:rPr>
        <w:t xml:space="preserve"> las gestiones se coordinan con </w:t>
      </w:r>
      <w:r>
        <w:rPr>
          <w:rFonts w:ascii="Arial" w:hAnsi="Arial" w:eastAsia="Arial"/>
          <w:b/>
          <w:i w:val="0"/>
          <w:sz w:val="22"/>
        </w:rPr>
        <w:t>Nelson Socorro</w:t>
      </w:r>
      <w:r>
        <w:rPr>
          <w:rFonts w:ascii="Arial" w:hAnsi="Arial" w:eastAsia="Arial"/>
          <w:b w:val="0"/>
          <w:i w:val="0"/>
          <w:sz w:val="22"/>
        </w:rPr>
        <w:t xml:space="preserve"> y </w:t>
      </w:r>
      <w:r>
        <w:rPr>
          <w:rFonts w:ascii="Arial" w:hAnsi="Arial" w:eastAsia="Arial"/>
          <w:b/>
          <w:i w:val="0"/>
          <w:sz w:val="22"/>
        </w:rPr>
        <w:t>José García</w:t>
      </w:r>
      <w:r>
        <w:rPr>
          <w:rFonts w:ascii="Arial" w:hAnsi="Arial" w:eastAsia="Arial"/>
          <w:b w:val="0"/>
          <w:i w:val="0"/>
          <w:sz w:val="22"/>
        </w:rPr>
        <w:t>.</w:t>
      </w:r>
    </w:p>
    <w:p>
      <w:pPr>
        <w:pStyle w:val="Heading2"/>
      </w:pPr>
      <w:r>
        <w:rPr>
          <w:rFonts w:ascii="Arial" w:hAnsi="Arial" w:eastAsia="Arial"/>
          <w:b/>
          <w:i w:val="0"/>
          <w:color w:val="1B3A5C"/>
          <w:sz w:val="24"/>
        </w:rPr>
        <w:t>4. Puntos tratados</w:t>
      </w:r>
    </w:p>
    <w:p>
      <w:pPr>
        <w:pStyle w:val="ListBullet"/>
      </w:pPr>
      <w:r>
        <w:rPr>
          <w:rFonts w:ascii="Arial" w:hAnsi="Arial" w:eastAsia="Arial"/>
          <w:b/>
          <w:i w:val="0"/>
          <w:sz w:val="22"/>
        </w:rPr>
        <w:t>Requerimientos e inspecciones SUDEASEG:</w:t>
      </w:r>
      <w:r>
        <w:rPr>
          <w:rFonts w:ascii="Arial" w:hAnsi="Arial" w:eastAsia="Arial"/>
          <w:b w:val="0"/>
          <w:i w:val="0"/>
          <w:sz w:val="22"/>
        </w:rPr>
        <w:t xml:space="preserve"> la gerencia ya dispone de la </w:t>
      </w:r>
      <w:r>
        <w:rPr>
          <w:rFonts w:ascii="Arial" w:hAnsi="Arial" w:eastAsia="Arial"/>
          <w:b/>
          <w:i w:val="0"/>
          <w:sz w:val="22"/>
        </w:rPr>
        <w:t>lista de requerimientos</w:t>
      </w:r>
      <w:r>
        <w:rPr>
          <w:rFonts w:ascii="Arial" w:hAnsi="Arial" w:eastAsia="Arial"/>
          <w:b w:val="0"/>
          <w:i w:val="0"/>
          <w:sz w:val="22"/>
        </w:rPr>
        <w:t xml:space="preserve">; el trabajo de entrega sigue en curso. La prioridad operativa era la </w:t>
      </w:r>
      <w:r>
        <w:rPr>
          <w:rFonts w:ascii="Arial" w:hAnsi="Arial" w:eastAsia="Arial"/>
          <w:b/>
          <w:i w:val="0"/>
          <w:sz w:val="22"/>
        </w:rPr>
        <w:t>entrega para inspecciones generales de SUDEASEG</w:t>
      </w:r>
      <w:r>
        <w:rPr>
          <w:rFonts w:ascii="Arial" w:hAnsi="Arial" w:eastAsia="Arial"/>
          <w:b w:val="0"/>
          <w:i w:val="0"/>
          <w:sz w:val="22"/>
        </w:rPr>
        <w:t xml:space="preserve">, con </w:t>
      </w:r>
      <w:r>
        <w:rPr>
          <w:rFonts w:ascii="Arial" w:hAnsi="Arial" w:eastAsia="Arial"/>
          <w:b/>
          <w:i w:val="0"/>
          <w:sz w:val="22"/>
        </w:rPr>
        <w:t>fecha tope el miércoles</w:t>
      </w:r>
      <w:r>
        <w:rPr>
          <w:rFonts w:ascii="Arial" w:hAnsi="Arial" w:eastAsia="Arial"/>
          <w:b w:val="0"/>
          <w:i w:val="0"/>
          <w:sz w:val="22"/>
        </w:rPr>
        <w:t xml:space="preserve">. </w:t>
      </w:r>
      <w:r>
        <w:rPr>
          <w:rFonts w:ascii="Arial" w:hAnsi="Arial" w:eastAsia="Arial"/>
          <w:b/>
          <w:i w:val="0"/>
          <w:sz w:val="22"/>
        </w:rPr>
        <w:t>A partir del miércoles, funcionarios de SUDEASEG estarán en las instalaciones de La Internacional</w:t>
      </w:r>
      <w:r>
        <w:rPr>
          <w:rFonts w:ascii="Arial" w:hAnsi="Arial" w:eastAsia="Arial"/>
          <w:b w:val="0"/>
          <w:i w:val="0"/>
          <w:sz w:val="22"/>
        </w:rPr>
        <w:t xml:space="preserve"> para dichas inspecciones. Tras cumplir ese envío se podrá dedicar </w:t>
      </w:r>
      <w:r>
        <w:rPr>
          <w:rFonts w:ascii="Arial" w:hAnsi="Arial" w:eastAsia="Arial"/>
          <w:b/>
          <w:i w:val="0"/>
          <w:sz w:val="22"/>
        </w:rPr>
        <w:t>mayor detalle</w:t>
      </w:r>
      <w:r>
        <w:rPr>
          <w:rFonts w:ascii="Arial" w:hAnsi="Arial" w:eastAsia="Arial"/>
          <w:b w:val="0"/>
          <w:i w:val="0"/>
          <w:sz w:val="22"/>
        </w:rPr>
        <w:t xml:space="preserve"> a los requerimientos; lo solicitado se </w:t>
      </w:r>
      <w:r>
        <w:rPr>
          <w:rFonts w:ascii="Arial" w:hAnsi="Arial" w:eastAsia="Arial"/>
          <w:b/>
          <w:i w:val="0"/>
          <w:sz w:val="22"/>
        </w:rPr>
        <w:t>alinea</w:t>
      </w:r>
      <w:r>
        <w:rPr>
          <w:rFonts w:ascii="Arial" w:hAnsi="Arial" w:eastAsia="Arial"/>
          <w:b w:val="0"/>
          <w:i w:val="0"/>
          <w:sz w:val="22"/>
        </w:rPr>
        <w:t xml:space="preserve"> con lo pedido por </w:t>
      </w:r>
      <w:r>
        <w:rPr>
          <w:rFonts w:ascii="Arial" w:hAnsi="Arial" w:eastAsia="Arial"/>
          <w:b/>
          <w:i w:val="0"/>
          <w:sz w:val="22"/>
        </w:rPr>
        <w:t>SUDEASEG</w:t>
      </w:r>
      <w:r>
        <w:rPr>
          <w:rFonts w:ascii="Arial" w:hAnsi="Arial" w:eastAsia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 w:eastAsia="Arial"/>
          <w:b/>
          <w:i w:val="0"/>
          <w:sz w:val="22"/>
        </w:rPr>
        <w:t>Calendario de trabajo:</w:t>
      </w:r>
      <w:r>
        <w:rPr>
          <w:rFonts w:ascii="Arial" w:hAnsi="Arial" w:eastAsia="Arial"/>
          <w:b w:val="0"/>
          <w:i w:val="0"/>
          <w:sz w:val="22"/>
        </w:rPr>
        <w:t xml:space="preserve"> durante el </w:t>
      </w:r>
      <w:r>
        <w:rPr>
          <w:rFonts w:ascii="Arial" w:hAnsi="Arial" w:eastAsia="Arial"/>
          <w:b/>
          <w:i w:val="0"/>
          <w:sz w:val="22"/>
        </w:rPr>
        <w:t>resto de la semana</w:t>
      </w:r>
      <w:r>
        <w:rPr>
          <w:rFonts w:ascii="Arial" w:hAnsi="Arial" w:eastAsia="Arial"/>
          <w:b w:val="0"/>
          <w:i w:val="0"/>
          <w:sz w:val="22"/>
        </w:rPr>
        <w:t xml:space="preserve"> se continuará con la </w:t>
      </w:r>
      <w:r>
        <w:rPr>
          <w:rFonts w:ascii="Arial" w:hAnsi="Arial" w:eastAsia="Arial"/>
          <w:b/>
          <w:i w:val="0"/>
          <w:sz w:val="22"/>
        </w:rPr>
        <w:t>información disponible</w:t>
      </w:r>
      <w:r>
        <w:rPr>
          <w:rFonts w:ascii="Arial" w:hAnsi="Arial" w:eastAsia="Arial"/>
          <w:b w:val="0"/>
          <w:i w:val="0"/>
          <w:sz w:val="22"/>
        </w:rPr>
        <w:t xml:space="preserve"> en el marco de la visita y las prioridades acordadas. La </w:t>
      </w:r>
      <w:r>
        <w:rPr>
          <w:rFonts w:ascii="Arial" w:hAnsi="Arial" w:eastAsia="Arial"/>
          <w:b/>
          <w:i w:val="0"/>
          <w:sz w:val="22"/>
        </w:rPr>
        <w:t>siguiente reunión</w:t>
      </w:r>
      <w:r>
        <w:rPr>
          <w:rFonts w:ascii="Arial" w:hAnsi="Arial" w:eastAsia="Arial"/>
          <w:b w:val="0"/>
          <w:i w:val="0"/>
          <w:sz w:val="22"/>
        </w:rPr>
        <w:t xml:space="preserve"> quedó fijada para el </w:t>
      </w:r>
      <w:r>
        <w:rPr>
          <w:rFonts w:ascii="Arial" w:hAnsi="Arial" w:eastAsia="Arial"/>
          <w:b/>
          <w:i w:val="0"/>
          <w:sz w:val="22"/>
        </w:rPr>
        <w:t>14 de abril de 2026 a las 14:00</w:t>
      </w:r>
      <w:r>
        <w:rPr>
          <w:rFonts w:ascii="Arial" w:hAnsi="Arial" w:eastAsia="Arial"/>
          <w:b w:val="0"/>
          <w:i w:val="0"/>
          <w:sz w:val="22"/>
        </w:rPr>
        <w:t xml:space="preserve"> (ver sección 7).</w:t>
      </w:r>
    </w:p>
    <w:p>
      <w:pPr>
        <w:pStyle w:val="ListBullet"/>
      </w:pPr>
      <w:r>
        <w:rPr>
          <w:rFonts w:ascii="Arial" w:hAnsi="Arial" w:eastAsia="Arial"/>
          <w:b/>
          <w:i w:val="0"/>
          <w:sz w:val="22"/>
        </w:rPr>
        <w:t>Reportería mensual:</w:t>
      </w:r>
      <w:r>
        <w:rPr>
          <w:rFonts w:ascii="Arial" w:hAnsi="Arial" w:eastAsia="Arial"/>
          <w:b w:val="0"/>
          <w:i w:val="0"/>
          <w:sz w:val="22"/>
        </w:rPr>
        <w:t xml:space="preserve"> se recibieron </w:t>
      </w:r>
      <w:r>
        <w:rPr>
          <w:rFonts w:ascii="Arial" w:hAnsi="Arial" w:eastAsia="Arial"/>
          <w:b/>
          <w:i w:val="0"/>
          <w:sz w:val="22"/>
        </w:rPr>
        <w:t>dos mensajes</w:t>
      </w:r>
      <w:r>
        <w:rPr>
          <w:rFonts w:ascii="Arial" w:hAnsi="Arial" w:eastAsia="Arial"/>
          <w:b w:val="0"/>
          <w:i w:val="0"/>
          <w:sz w:val="22"/>
        </w:rPr>
        <w:t xml:space="preserve"> con información de cierre: uno referido al </w:t>
      </w:r>
      <w:r>
        <w:rPr>
          <w:rFonts w:ascii="Arial" w:hAnsi="Arial" w:eastAsia="Arial"/>
          <w:b/>
          <w:i w:val="0"/>
          <w:sz w:val="22"/>
        </w:rPr>
        <w:t>cierre a marzo 2026</w:t>
      </w:r>
      <w:r>
        <w:rPr>
          <w:rFonts w:ascii="Arial" w:hAnsi="Arial" w:eastAsia="Arial"/>
          <w:b w:val="0"/>
          <w:i w:val="0"/>
          <w:sz w:val="22"/>
        </w:rPr>
        <w:t xml:space="preserve"> y otro al </w:t>
      </w:r>
      <w:r>
        <w:rPr>
          <w:rFonts w:ascii="Arial" w:hAnsi="Arial" w:eastAsia="Arial"/>
          <w:b/>
          <w:i w:val="0"/>
          <w:sz w:val="22"/>
        </w:rPr>
        <w:t>cierre a diciembre 2025</w:t>
      </w:r>
      <w:r>
        <w:rPr>
          <w:rFonts w:ascii="Arial" w:hAnsi="Arial" w:eastAsia="Arial"/>
          <w:b w:val="0"/>
          <w:i w:val="0"/>
          <w:sz w:val="22"/>
        </w:rPr>
        <w:t xml:space="preserve">. Ambos fueron </w:t>
      </w:r>
      <w:r>
        <w:rPr>
          <w:rFonts w:ascii="Arial" w:hAnsi="Arial" w:eastAsia="Arial"/>
          <w:b/>
          <w:i w:val="0"/>
          <w:sz w:val="22"/>
        </w:rPr>
        <w:t>remitidos el 13 de abril de 2026</w:t>
      </w:r>
      <w:r>
        <w:rPr>
          <w:rFonts w:ascii="Arial" w:hAnsi="Arial" w:eastAsia="Arial"/>
          <w:b w:val="0"/>
          <w:i w:val="0"/>
          <w:sz w:val="22"/>
        </w:rPr>
        <w:t xml:space="preserve">; la </w:t>
      </w:r>
      <w:r>
        <w:rPr>
          <w:rFonts w:ascii="Arial" w:hAnsi="Arial" w:eastAsia="Arial"/>
          <w:b/>
          <w:i w:val="0"/>
          <w:sz w:val="22"/>
        </w:rPr>
        <w:t>hora exacta</w:t>
      </w:r>
      <w:r>
        <w:rPr>
          <w:rFonts w:ascii="Arial" w:hAnsi="Arial" w:eastAsia="Arial"/>
          <w:b w:val="0"/>
          <w:i w:val="0"/>
          <w:sz w:val="22"/>
        </w:rPr>
        <w:t xml:space="preserve"> de cada envío consta en el </w:t>
      </w:r>
      <w:r>
        <w:rPr>
          <w:rFonts w:ascii="Arial" w:hAnsi="Arial" w:eastAsia="Arial"/>
          <w:b/>
          <w:i w:val="0"/>
          <w:sz w:val="22"/>
        </w:rPr>
        <w:t>registro horario del mensaje</w:t>
      </w:r>
      <w:r>
        <w:rPr>
          <w:rFonts w:ascii="Arial" w:hAnsi="Arial" w:eastAsia="Arial"/>
          <w:b w:val="0"/>
          <w:i w:val="0"/>
          <w:sz w:val="22"/>
        </w:rPr>
        <w:t xml:space="preserve"> en el correo corporativo. Queda </w:t>
      </w:r>
      <w:r>
        <w:rPr>
          <w:rFonts w:ascii="Arial" w:hAnsi="Arial" w:eastAsia="Arial"/>
          <w:b/>
          <w:i w:val="0"/>
          <w:sz w:val="22"/>
        </w:rPr>
        <w:t>pendiente</w:t>
      </w:r>
      <w:r>
        <w:rPr>
          <w:rFonts w:ascii="Arial" w:hAnsi="Arial" w:eastAsia="Arial"/>
          <w:b w:val="0"/>
          <w:i w:val="0"/>
          <w:sz w:val="22"/>
        </w:rPr>
        <w:t xml:space="preserve"> remitir reportería de </w:t>
      </w:r>
      <w:r>
        <w:rPr>
          <w:rFonts w:ascii="Arial" w:hAnsi="Arial" w:eastAsia="Arial"/>
          <w:b/>
          <w:i w:val="0"/>
          <w:sz w:val="22"/>
        </w:rPr>
        <w:t>frecuencia semanal</w:t>
      </w:r>
      <w:r>
        <w:rPr>
          <w:rFonts w:ascii="Arial" w:hAnsi="Arial" w:eastAsia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 w:eastAsia="Arial"/>
          <w:b/>
          <w:i w:val="0"/>
          <w:sz w:val="22"/>
        </w:rPr>
        <w:t>Productos:</w:t>
      </w:r>
      <w:r>
        <w:rPr>
          <w:rFonts w:ascii="Arial" w:hAnsi="Arial" w:eastAsia="Arial"/>
          <w:b w:val="0"/>
          <w:i w:val="0"/>
          <w:sz w:val="22"/>
        </w:rPr>
        <w:t xml:space="preserve"> se describieron </w:t>
      </w:r>
      <w:r>
        <w:rPr>
          <w:rFonts w:ascii="Arial" w:hAnsi="Arial" w:eastAsia="Arial"/>
          <w:b/>
          <w:i w:val="0"/>
          <w:sz w:val="22"/>
        </w:rPr>
        <w:t>en líneas generales</w:t>
      </w:r>
      <w:r>
        <w:rPr>
          <w:rFonts w:ascii="Arial" w:hAnsi="Arial" w:eastAsia="Arial"/>
          <w:b w:val="0"/>
          <w:i w:val="0"/>
          <w:sz w:val="22"/>
        </w:rPr>
        <w:t xml:space="preserve"> los distintos productos; se solicitó </w:t>
      </w:r>
      <w:r>
        <w:rPr>
          <w:rFonts w:ascii="Arial" w:hAnsi="Arial" w:eastAsia="Arial"/>
          <w:b/>
          <w:i w:val="0"/>
          <w:sz w:val="22"/>
        </w:rPr>
        <w:t>detalle por escrito</w:t>
      </w:r>
      <w:r>
        <w:rPr>
          <w:rFonts w:ascii="Arial" w:hAnsi="Arial" w:eastAsia="Arial"/>
          <w:b w:val="0"/>
          <w:i w:val="0"/>
          <w:sz w:val="22"/>
        </w:rPr>
        <w:t xml:space="preserve">, recibido en un </w:t>
      </w:r>
      <w:r>
        <w:rPr>
          <w:rFonts w:ascii="Arial" w:hAnsi="Arial" w:eastAsia="Arial"/>
          <w:b/>
          <w:i w:val="0"/>
          <w:sz w:val="22"/>
        </w:rPr>
        <w:t>tercer mensaje</w:t>
      </w:r>
      <w:r>
        <w:rPr>
          <w:rFonts w:ascii="Arial" w:hAnsi="Arial" w:eastAsia="Arial"/>
          <w:b w:val="0"/>
          <w:i w:val="0"/>
          <w:sz w:val="22"/>
        </w:rPr>
        <w:t xml:space="preserve"> con la </w:t>
      </w:r>
      <w:r>
        <w:rPr>
          <w:rFonts w:ascii="Arial" w:hAnsi="Arial" w:eastAsia="Arial"/>
          <w:b/>
          <w:i w:val="0"/>
          <w:sz w:val="22"/>
        </w:rPr>
        <w:t>relación de productos</w:t>
      </w:r>
      <w:r>
        <w:rPr>
          <w:rFonts w:ascii="Arial" w:hAnsi="Arial" w:eastAsia="Arial"/>
          <w:b w:val="0"/>
          <w:i w:val="0"/>
          <w:sz w:val="22"/>
        </w:rPr>
        <w:t xml:space="preserve">, </w:t>
      </w:r>
      <w:r>
        <w:rPr>
          <w:rFonts w:ascii="Arial" w:hAnsi="Arial" w:eastAsia="Arial"/>
          <w:b/>
          <w:i w:val="0"/>
          <w:sz w:val="22"/>
        </w:rPr>
        <w:t>remitido el 13 de abril de 2026</w:t>
      </w:r>
      <w:r>
        <w:rPr>
          <w:rFonts w:ascii="Arial" w:hAnsi="Arial" w:eastAsia="Arial"/>
          <w:b w:val="0"/>
          <w:i w:val="0"/>
          <w:sz w:val="22"/>
        </w:rPr>
        <w:t xml:space="preserve"> (hora según el propio mensaje). Se mencionó el producto de </w:t>
      </w:r>
      <w:r>
        <w:rPr>
          <w:rFonts w:ascii="Arial" w:hAnsi="Arial" w:eastAsia="Arial"/>
          <w:b/>
          <w:i w:val="0"/>
          <w:sz w:val="22"/>
        </w:rPr>
        <w:t>salud internacional</w:t>
      </w:r>
      <w:r>
        <w:rPr>
          <w:rFonts w:ascii="Arial" w:hAnsi="Arial" w:eastAsia="Arial"/>
          <w:b w:val="0"/>
          <w:i w:val="0"/>
          <w:sz w:val="22"/>
        </w:rPr>
        <w:t xml:space="preserve">, centralizado con </w:t>
      </w:r>
      <w:r>
        <w:rPr>
          <w:rFonts w:ascii="Arial" w:hAnsi="Arial" w:eastAsia="Arial"/>
          <w:b/>
          <w:i w:val="0"/>
          <w:sz w:val="22"/>
        </w:rPr>
        <w:t>Redbridge</w:t>
      </w:r>
      <w:r>
        <w:rPr>
          <w:rFonts w:ascii="Arial" w:hAnsi="Arial" w:eastAsia="Arial"/>
          <w:b w:val="0"/>
          <w:i w:val="0"/>
          <w:sz w:val="22"/>
        </w:rPr>
        <w:t xml:space="preserve">, en relación con el material </w:t>
      </w:r>
      <w:r>
        <w:rPr>
          <w:rFonts w:ascii="Arial" w:hAnsi="Arial" w:eastAsia="Arial"/>
          <w:b/>
          <w:i w:val="0"/>
          <w:sz w:val="22"/>
        </w:rPr>
        <w:t>«Resumen de pagos Reaseguros año 2025 Juan»</w:t>
      </w:r>
      <w:r>
        <w:rPr>
          <w:rFonts w:ascii="Arial" w:hAnsi="Arial" w:eastAsia="Arial"/>
          <w:b w:val="0"/>
          <w:i w:val="0"/>
          <w:sz w:val="22"/>
        </w:rPr>
        <w:t xml:space="preserve">. Algunos productos están </w:t>
      </w:r>
      <w:r>
        <w:rPr>
          <w:rFonts w:ascii="Arial" w:hAnsi="Arial" w:eastAsia="Arial"/>
          <w:b/>
          <w:i w:val="0"/>
          <w:sz w:val="22"/>
        </w:rPr>
        <w:t>a la espera de aprobación SUDEASEG</w:t>
      </w:r>
      <w:r>
        <w:rPr>
          <w:rFonts w:ascii="Arial" w:hAnsi="Arial" w:eastAsia="Arial"/>
          <w:b w:val="0"/>
          <w:i w:val="0"/>
          <w:sz w:val="22"/>
        </w:rPr>
        <w:t xml:space="preserve">; conviene acotar estatus tras la </w:t>
      </w:r>
      <w:r>
        <w:rPr>
          <w:rFonts w:ascii="Arial" w:hAnsi="Arial" w:eastAsia="Arial"/>
          <w:b/>
          <w:i w:val="0"/>
          <w:sz w:val="22"/>
        </w:rPr>
        <w:t>mesa legal</w:t>
      </w:r>
      <w:r>
        <w:rPr>
          <w:rFonts w:ascii="Arial" w:hAnsi="Arial" w:eastAsia="Arial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Arial" w:hAnsi="Arial" w:eastAsia="Arial"/>
          <w:b/>
          <w:i w:val="0"/>
          <w:sz w:val="22"/>
        </w:rPr>
        <w:t>Herramientas:</w:t>
      </w:r>
      <w:r>
        <w:rPr>
          <w:rFonts w:ascii="Arial" w:hAnsi="Arial" w:eastAsia="Arial"/>
          <w:b w:val="0"/>
          <w:i w:val="0"/>
          <w:sz w:val="22"/>
        </w:rPr>
        <w:t xml:space="preserve"> los reportes se elaboran hoy principalmente en </w:t>
      </w:r>
      <w:r>
        <w:rPr>
          <w:rFonts w:ascii="Arial" w:hAnsi="Arial" w:eastAsia="Arial"/>
          <w:b/>
          <w:i w:val="0"/>
          <w:sz w:val="22"/>
        </w:rPr>
        <w:t>Excel</w:t>
      </w:r>
      <w:r>
        <w:rPr>
          <w:rFonts w:ascii="Arial" w:hAnsi="Arial" w:eastAsia="Arial"/>
          <w:b w:val="0"/>
          <w:i w:val="0"/>
          <w:sz w:val="22"/>
        </w:rPr>
        <w:t xml:space="preserve">; existe interés en </w:t>
      </w:r>
      <w:r>
        <w:rPr>
          <w:rFonts w:ascii="Arial" w:hAnsi="Arial" w:eastAsia="Arial"/>
          <w:b/>
          <w:i w:val="0"/>
          <w:sz w:val="22"/>
        </w:rPr>
        <w:t>automatización</w:t>
      </w:r>
      <w:r>
        <w:rPr>
          <w:rFonts w:ascii="Arial" w:hAnsi="Arial" w:eastAsia="Arial"/>
          <w:b w:val="0"/>
          <w:i w:val="0"/>
          <w:sz w:val="22"/>
        </w:rPr>
        <w:t xml:space="preserve"> de reportería y contacto previo con proveedor para </w:t>
      </w:r>
      <w:r>
        <w:rPr>
          <w:rFonts w:ascii="Arial" w:hAnsi="Arial" w:eastAsia="Arial"/>
          <w:b/>
          <w:i w:val="0"/>
          <w:sz w:val="22"/>
        </w:rPr>
        <w:t>Power BI</w:t>
      </w:r>
      <w:r>
        <w:rPr>
          <w:rFonts w:ascii="Arial" w:hAnsi="Arial" w:eastAsia="Arial"/>
          <w:b w:val="0"/>
          <w:i w:val="0"/>
          <w:sz w:val="22"/>
        </w:rPr>
        <w:t xml:space="preserve">. Se informó la posibilidad de valorar </w:t>
      </w:r>
      <w:r>
        <w:rPr>
          <w:rFonts w:ascii="Arial" w:hAnsi="Arial" w:eastAsia="Arial"/>
          <w:b/>
          <w:i w:val="0"/>
          <w:sz w:val="22"/>
        </w:rPr>
        <w:t>herramientas de software libre</w:t>
      </w:r>
      <w:r>
        <w:rPr>
          <w:rFonts w:ascii="Arial" w:hAnsi="Arial" w:eastAsia="Arial"/>
          <w:b w:val="0"/>
          <w:i w:val="0"/>
          <w:sz w:val="22"/>
        </w:rPr>
        <w:t xml:space="preserve"> — punto a </w:t>
      </w:r>
      <w:r>
        <w:rPr>
          <w:rFonts w:ascii="Arial" w:hAnsi="Arial" w:eastAsia="Arial"/>
          <w:b/>
          <w:i w:val="0"/>
          <w:sz w:val="22"/>
        </w:rPr>
        <w:t>elevar</w:t>
      </w:r>
      <w:r>
        <w:rPr>
          <w:rFonts w:ascii="Arial" w:hAnsi="Arial" w:eastAsia="Arial"/>
          <w:b w:val="0"/>
          <w:i w:val="0"/>
          <w:sz w:val="22"/>
        </w:rPr>
        <w:t xml:space="preserve"> para decisión.</w:t>
      </w:r>
    </w:p>
    <w:p>
      <w:pPr>
        <w:pStyle w:val="Heading2"/>
      </w:pPr>
      <w:r>
        <w:rPr>
          <w:rFonts w:ascii="Arial" w:hAnsi="Arial" w:eastAsia="Arial"/>
          <w:b/>
          <w:i w:val="0"/>
          <w:color w:val="1B3A5C"/>
          <w:sz w:val="24"/>
        </w:rPr>
        <w:t>5. Acuerdos</w:t>
      </w:r>
    </w:p>
    <w:p>
      <w:pPr>
        <w:pStyle w:val="ListNumber"/>
      </w:pPr>
      <w:r>
        <w:rPr>
          <w:rFonts w:ascii="Arial" w:hAnsi="Arial" w:eastAsia="Arial"/>
          <w:b/>
          <w:i w:val="0"/>
          <w:sz w:val="22"/>
        </w:rPr>
        <w:t>Prioridad inmediata:</w:t>
      </w:r>
      <w:r>
        <w:rPr>
          <w:rFonts w:ascii="Arial" w:hAnsi="Arial" w:eastAsia="Arial"/>
          <w:b w:val="0"/>
          <w:i w:val="0"/>
          <w:sz w:val="22"/>
        </w:rPr>
        <w:t xml:space="preserve"> cerrar los </w:t>
      </w:r>
      <w:r>
        <w:rPr>
          <w:rFonts w:ascii="Arial" w:hAnsi="Arial" w:eastAsia="Arial"/>
          <w:b/>
          <w:i w:val="0"/>
          <w:sz w:val="22"/>
        </w:rPr>
        <w:t>reportes e insumos para inspecciones SUDEASEG</w:t>
      </w:r>
      <w:r>
        <w:rPr>
          <w:rFonts w:ascii="Arial" w:hAnsi="Arial" w:eastAsia="Arial"/>
          <w:b w:val="0"/>
          <w:i w:val="0"/>
          <w:sz w:val="22"/>
        </w:rPr>
        <w:t xml:space="preserve"> (insumo para </w:t>
      </w:r>
      <w:r>
        <w:rPr>
          <w:rFonts w:ascii="Arial" w:hAnsi="Arial" w:eastAsia="Arial"/>
          <w:b/>
          <w:i w:val="0"/>
          <w:sz w:val="22"/>
        </w:rPr>
        <w:t>mesas de trabajo</w:t>
      </w:r>
      <w:r>
        <w:rPr>
          <w:rFonts w:ascii="Arial" w:hAnsi="Arial" w:eastAsia="Arial"/>
          <w:b w:val="0"/>
          <w:i w:val="0"/>
          <w:sz w:val="22"/>
        </w:rPr>
        <w:t xml:space="preserve"> y revisiones).</w:t>
      </w:r>
    </w:p>
    <w:p>
      <w:pPr>
        <w:pStyle w:val="ListNumber"/>
      </w:pPr>
      <w:r>
        <w:rPr>
          <w:rFonts w:ascii="Arial" w:hAnsi="Arial" w:eastAsia="Arial"/>
          <w:b w:val="0"/>
          <w:i w:val="0"/>
          <w:sz w:val="22"/>
        </w:rPr>
        <w:t xml:space="preserve">Tras esa entrega, retomar con </w:t>
      </w:r>
      <w:r>
        <w:rPr>
          <w:rFonts w:ascii="Arial" w:hAnsi="Arial" w:eastAsia="Arial"/>
          <w:b/>
          <w:i w:val="0"/>
          <w:sz w:val="22"/>
        </w:rPr>
        <w:t>mayor detalle</w:t>
      </w:r>
      <w:r>
        <w:rPr>
          <w:rFonts w:ascii="Arial" w:hAnsi="Arial" w:eastAsia="Arial"/>
          <w:b w:val="0"/>
          <w:i w:val="0"/>
          <w:sz w:val="22"/>
        </w:rPr>
        <w:t xml:space="preserve"> la </w:t>
      </w:r>
      <w:r>
        <w:rPr>
          <w:rFonts w:ascii="Arial" w:hAnsi="Arial" w:eastAsia="Arial"/>
          <w:b/>
          <w:i w:val="0"/>
          <w:sz w:val="22"/>
        </w:rPr>
        <w:t>lista de requerimientos</w:t>
      </w:r>
      <w:r>
        <w:rPr>
          <w:rFonts w:ascii="Arial" w:hAnsi="Arial" w:eastAsia="Arial"/>
          <w:b w:val="0"/>
          <w:i w:val="0"/>
          <w:sz w:val="22"/>
        </w:rPr>
        <w:t xml:space="preserve"> ya recibidos.</w:t>
      </w:r>
    </w:p>
    <w:p>
      <w:pPr>
        <w:pStyle w:val="ListNumber"/>
      </w:pPr>
      <w:r>
        <w:rPr>
          <w:rFonts w:ascii="Arial" w:hAnsi="Arial" w:eastAsia="Arial"/>
          <w:b/>
          <w:i w:val="0"/>
          <w:sz w:val="22"/>
        </w:rPr>
        <w:t>Correspondencia recibida:</w:t>
      </w:r>
      <w:r>
        <w:rPr>
          <w:rFonts w:ascii="Arial" w:hAnsi="Arial" w:eastAsia="Arial"/>
          <w:b w:val="0"/>
          <w:i w:val="0"/>
          <w:sz w:val="22"/>
        </w:rPr>
        <w:t xml:space="preserve"> quedan </w:t>
      </w:r>
      <w:r>
        <w:rPr>
          <w:rFonts w:ascii="Arial" w:hAnsi="Arial" w:eastAsia="Arial"/>
          <w:b/>
          <w:i w:val="0"/>
          <w:sz w:val="22"/>
        </w:rPr>
        <w:t>registrados</w:t>
      </w:r>
      <w:r>
        <w:rPr>
          <w:rFonts w:ascii="Arial" w:hAnsi="Arial" w:eastAsia="Arial"/>
          <w:b w:val="0"/>
          <w:i w:val="0"/>
          <w:sz w:val="22"/>
        </w:rPr>
        <w:t xml:space="preserve"> los envíos ya recibidos por </w:t>
      </w:r>
      <w:r>
        <w:rPr>
          <w:rFonts w:ascii="Arial" w:hAnsi="Arial" w:eastAsia="Arial"/>
          <w:b/>
          <w:i w:val="0"/>
          <w:sz w:val="22"/>
        </w:rPr>
        <w:t>correo</w:t>
      </w:r>
      <w:r>
        <w:rPr>
          <w:rFonts w:ascii="Arial" w:hAnsi="Arial" w:eastAsia="Arial"/>
          <w:b w:val="0"/>
          <w:i w:val="0"/>
          <w:sz w:val="22"/>
        </w:rPr>
        <w:t xml:space="preserve"> por el responsable de seguimiento.</w:t>
      </w:r>
    </w:p>
    <w:p>
      <w:pPr>
        <w:pStyle w:val="ListNumber"/>
      </w:pPr>
      <w:r>
        <w:rPr>
          <w:rFonts w:ascii="Arial" w:hAnsi="Arial" w:eastAsia="Arial"/>
          <w:b/>
          <w:i w:val="0"/>
          <w:sz w:val="22"/>
        </w:rPr>
        <w:t>Seguimiento:</w:t>
      </w:r>
      <w:r>
        <w:rPr>
          <w:rFonts w:ascii="Arial" w:hAnsi="Arial" w:eastAsia="Arial"/>
          <w:b w:val="0"/>
          <w:i w:val="0"/>
          <w:sz w:val="22"/>
        </w:rPr>
        <w:t xml:space="preserve"> reunión de seguimiento el </w:t>
      </w:r>
      <w:r>
        <w:rPr>
          <w:rFonts w:ascii="Arial" w:hAnsi="Arial" w:eastAsia="Arial"/>
          <w:b/>
          <w:i w:val="0"/>
          <w:sz w:val="22"/>
        </w:rPr>
        <w:t>14 de abril de 2026 a las 14:00</w:t>
      </w:r>
      <w:r>
        <w:rPr>
          <w:rFonts w:ascii="Arial" w:hAnsi="Arial" w:eastAsia="Arial"/>
          <w:b w:val="0"/>
          <w:i w:val="0"/>
          <w:sz w:val="22"/>
        </w:rPr>
        <w:t xml:space="preserve"> para avanzar en la </w:t>
      </w:r>
      <w:r>
        <w:rPr>
          <w:rFonts w:ascii="Arial" w:hAnsi="Arial" w:eastAsia="Arial"/>
          <w:b/>
          <w:i w:val="0"/>
          <w:sz w:val="22"/>
        </w:rPr>
        <w:t>lista de recaudos</w:t>
      </w:r>
      <w:r>
        <w:rPr>
          <w:rFonts w:ascii="Arial" w:hAnsi="Arial" w:eastAsia="Arial"/>
          <w:b w:val="0"/>
          <w:i w:val="0"/>
          <w:sz w:val="22"/>
        </w:rPr>
        <w:t xml:space="preserve"> solicitados.</w:t>
      </w:r>
    </w:p>
    <w:p>
      <w:pPr>
        <w:pStyle w:val="Heading2"/>
      </w:pPr>
      <w:r>
        <w:rPr>
          <w:rFonts w:ascii="Arial" w:hAnsi="Arial" w:eastAsia="Arial"/>
          <w:b/>
          <w:i w:val="0"/>
          <w:color w:val="1B3A5C"/>
          <w:sz w:val="24"/>
        </w:rPr>
        <w:t>6. Referencias de correspondencia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i w:val="0"/>
                <w:sz w:val="20"/>
              </w:rPr>
              <w:t>Contenido del mensaje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/>
                <w:i w:val="0"/>
                <w:sz w:val="20"/>
              </w:rPr>
              <w:t>Fecha y hora de remisión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Información de cierre a marzo 2026 (reportería mensual)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13 de abril de 2026 — hora según registro del mensaje en el correo corporativo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Información de cierre a diciembre 2025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13 de abril de 2026 — hora según registro del mensaje en el correo corporativo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Detalle de productos de La Internacional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13 de abril de 2026 — hora según registro del mensaje en el correo corporativo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Documentación interna de apoyo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Según gestión documental de la compañía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i w:val="0"/>
          <w:color w:val="1B3A5C"/>
          <w:sz w:val="24"/>
        </w:rPr>
        <w:t>7. Próxima sesión</w:t>
      </w:r>
    </w:p>
    <w:p>
      <w:pPr>
        <w:spacing w:after="120"/>
      </w:pPr>
      <w:r>
        <w:rPr>
          <w:rFonts w:ascii="Arial" w:hAnsi="Arial" w:eastAsia="Arial"/>
          <w:b/>
          <w:i w:val="0"/>
          <w:sz w:val="22"/>
        </w:rPr>
        <w:t>Fecha y hora:</w:t>
      </w:r>
      <w:r>
        <w:rPr>
          <w:rFonts w:ascii="Arial" w:hAnsi="Arial" w:eastAsia="Arial"/>
          <w:b w:val="0"/>
          <w:i w:val="0"/>
          <w:sz w:val="22"/>
        </w:rPr>
        <w:t xml:space="preserve"> </w:t>
      </w:r>
      <w:r>
        <w:rPr>
          <w:rFonts w:ascii="Arial" w:hAnsi="Arial" w:eastAsia="Arial"/>
          <w:b/>
          <w:i w:val="0"/>
          <w:sz w:val="22"/>
        </w:rPr>
        <w:t>14 de abril de 2026, 14:00</w:t>
      </w:r>
      <w:r>
        <w:rPr>
          <w:rFonts w:ascii="Arial" w:hAnsi="Arial" w:eastAsia="Arial"/>
          <w:b w:val="0"/>
          <w:i w:val="0"/>
          <w:sz w:val="22"/>
        </w:rPr>
        <w:t xml:space="preserve"> · </w:t>
      </w:r>
      <w:r>
        <w:rPr>
          <w:rFonts w:ascii="Arial" w:hAnsi="Arial" w:eastAsia="Arial"/>
          <w:b/>
          <w:i w:val="0"/>
          <w:sz w:val="22"/>
        </w:rPr>
        <w:t>Enfoque:</w:t>
      </w:r>
      <w:r>
        <w:rPr>
          <w:rFonts w:ascii="Arial" w:hAnsi="Arial" w:eastAsia="Arial"/>
          <w:b w:val="0"/>
          <w:i w:val="0"/>
          <w:sz w:val="22"/>
        </w:rPr>
        <w:t xml:space="preserve"> avance en la </w:t>
      </w:r>
      <w:r>
        <w:rPr>
          <w:rFonts w:ascii="Arial" w:hAnsi="Arial" w:eastAsia="Arial"/>
          <w:b/>
          <w:i w:val="0"/>
          <w:sz w:val="22"/>
        </w:rPr>
        <w:t>lista de recaudos</w:t>
      </w:r>
      <w:r>
        <w:rPr>
          <w:rFonts w:ascii="Arial" w:hAnsi="Arial" w:eastAsia="Arial"/>
          <w:b w:val="0"/>
          <w:i w:val="0"/>
          <w:sz w:val="22"/>
        </w:rPr>
        <w:t xml:space="preserve"> solicitados y continuidad según disponibilidad posterior a las prioridades con </w:t>
      </w:r>
      <w:r>
        <w:rPr>
          <w:rFonts w:ascii="Arial" w:hAnsi="Arial" w:eastAsia="Arial"/>
          <w:b/>
          <w:i w:val="0"/>
          <w:sz w:val="22"/>
        </w:rPr>
        <w:t>SUDEASEG</w:t>
      </w:r>
      <w:r>
        <w:rPr>
          <w:rFonts w:ascii="Arial" w:hAnsi="Arial" w:eastAsia="Arial"/>
          <w:b w:val="0"/>
          <w:i w:val="0"/>
          <w:sz w:val="22"/>
        </w:rPr>
        <w:t>.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Elaborado por: Angel Colmenares · Fecha de redacción: 2026-04-14</w:t>
      </w:r>
    </w:p>
    <w:p>
      <w:pPr>
        <w:pStyle w:val="Heading2"/>
      </w:pPr>
      <w:r>
        <w:rPr>
          <w:rFonts w:ascii="Arial" w:hAnsi="Arial" w:eastAsia="Arial"/>
          <w:b/>
          <w:i w:val="0"/>
          <w:color w:val="1B3A5C"/>
          <w:sz w:val="24"/>
        </w:rPr>
        <w:t>8. Nota — Propuesta de denominación homogénea de archivos</w:t>
      </w: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 xml:space="preserve">Propuesta para homologar nombres de documentos entre </w:t>
      </w:r>
      <w:r>
        <w:rPr>
          <w:rFonts w:ascii="Arial" w:hAnsi="Arial" w:eastAsia="Arial"/>
          <w:b/>
          <w:i w:val="0"/>
          <w:sz w:val="22"/>
        </w:rPr>
        <w:t>mesas</w:t>
      </w:r>
      <w:r>
        <w:rPr>
          <w:rFonts w:ascii="Arial" w:hAnsi="Arial" w:eastAsia="Arial"/>
          <w:b w:val="0"/>
          <w:i w:val="0"/>
          <w:sz w:val="22"/>
        </w:rPr>
        <w:t xml:space="preserve"> y </w:t>
      </w:r>
      <w:r>
        <w:rPr>
          <w:rFonts w:ascii="Arial" w:hAnsi="Arial" w:eastAsia="Arial"/>
          <w:b/>
          <w:i w:val="0"/>
          <w:sz w:val="22"/>
        </w:rPr>
        <w:t>tipos de entrega</w:t>
      </w:r>
      <w:r>
        <w:rPr>
          <w:rFonts w:ascii="Arial" w:hAnsi="Arial" w:eastAsia="Arial"/>
          <w:b w:val="0"/>
          <w:i w:val="0"/>
          <w:sz w:val="22"/>
        </w:rPr>
        <w:t xml:space="preserve"> dentro del </w:t>
      </w:r>
      <w:r>
        <w:rPr>
          <w:rFonts w:ascii="Arial" w:hAnsi="Arial" w:eastAsia="Arial"/>
          <w:b/>
          <w:i w:val="0"/>
          <w:sz w:val="22"/>
        </w:rPr>
        <w:t>Plan de Optimización y Rentabilidad 2026</w:t>
      </w:r>
      <w:r>
        <w:rPr>
          <w:rFonts w:ascii="Arial" w:hAnsi="Arial" w:eastAsia="Arial"/>
          <w:b w:val="0"/>
          <w:i w:val="0"/>
          <w:sz w:val="22"/>
        </w:rPr>
        <w:t>.</w:t>
      </w:r>
    </w:p>
    <w:p>
      <w:pPr>
        <w:spacing w:after="120"/>
      </w:pPr>
      <w:r>
        <w:rPr>
          <w:rFonts w:ascii="Arial" w:hAnsi="Arial" w:eastAsia="Arial"/>
          <w:b/>
          <w:i w:val="0"/>
          <w:sz w:val="22"/>
        </w:rPr>
        <w:t>Formato:</w:t>
      </w:r>
      <w:r>
        <w:rPr>
          <w:rFonts w:ascii="Arial" w:hAnsi="Arial" w:eastAsia="Arial"/>
          <w:b w:val="0"/>
          <w:i w:val="0"/>
          <w:sz w:val="22"/>
        </w:rPr>
        <w:t xml:space="preserve"> `{TIPO}-POR-{MESA}-{AAAAMMDD}-{NN}`</w:t>
      </w:r>
    </w:p>
    <w:p>
      <w:pPr>
        <w:pStyle w:val="ListBullet"/>
      </w:pPr>
      <w:r>
        <w:rPr>
          <w:rFonts w:ascii="Arial" w:hAnsi="Arial" w:eastAsia="Arial"/>
          <w:b/>
          <w:i w:val="0"/>
          <w:sz w:val="22"/>
        </w:rPr>
        <w:t>TIPO:</w:t>
      </w:r>
      <w:r>
        <w:rPr>
          <w:rFonts w:ascii="Arial" w:hAnsi="Arial" w:eastAsia="Arial"/>
          <w:b w:val="0"/>
          <w:i w:val="0"/>
          <w:sz w:val="22"/>
        </w:rPr>
        <w:t xml:space="preserve"> p. ej. `MIN` (minuta), `REQ` (requerimiento), `ENT` (entrega).</w:t>
      </w:r>
    </w:p>
    <w:p>
      <w:pPr>
        <w:pStyle w:val="ListBullet"/>
      </w:pPr>
      <w:r>
        <w:rPr>
          <w:rFonts w:ascii="Arial" w:hAnsi="Arial" w:eastAsia="Arial"/>
          <w:b/>
          <w:i w:val="0"/>
          <w:sz w:val="22"/>
        </w:rPr>
        <w:t>POR:</w:t>
      </w:r>
      <w:r>
        <w:rPr>
          <w:rFonts w:ascii="Arial" w:hAnsi="Arial" w:eastAsia="Arial"/>
          <w:b w:val="0"/>
          <w:i w:val="0"/>
          <w:sz w:val="22"/>
        </w:rPr>
        <w:t xml:space="preserve"> siglas de </w:t>
      </w:r>
      <w:r>
        <w:rPr>
          <w:rFonts w:ascii="Arial" w:hAnsi="Arial" w:eastAsia="Arial"/>
          <w:b/>
          <w:i w:val="0"/>
          <w:sz w:val="22"/>
        </w:rPr>
        <w:t>Plan de Optimización y Rentabilidad</w:t>
      </w:r>
      <w:r>
        <w:rPr>
          <w:rFonts w:ascii="Arial" w:hAnsi="Arial" w:eastAsia="Arial"/>
          <w:b w:val="0"/>
          <w:i w:val="0"/>
          <w:sz w:val="22"/>
        </w:rPr>
        <w:t>; identifica el marco del plan.</w:t>
      </w:r>
    </w:p>
    <w:p>
      <w:pPr>
        <w:pStyle w:val="ListBullet"/>
      </w:pPr>
      <w:r>
        <w:rPr>
          <w:rFonts w:ascii="Arial" w:hAnsi="Arial" w:eastAsia="Arial"/>
          <w:b/>
          <w:i w:val="0"/>
          <w:sz w:val="22"/>
        </w:rPr>
        <w:t>MESA:</w:t>
      </w:r>
      <w:r>
        <w:rPr>
          <w:rFonts w:ascii="Arial" w:hAnsi="Arial" w:eastAsia="Arial"/>
          <w:b w:val="0"/>
          <w:i w:val="0"/>
          <w:sz w:val="22"/>
        </w:rPr>
        <w:t xml:space="preserve"> p. ej. `ACT` (actuarial), `LEG`, `FIN`, según tabla de códigos acordada.</w:t>
      </w:r>
    </w:p>
    <w:p>
      <w:pPr>
        <w:pStyle w:val="ListBullet"/>
      </w:pPr>
      <w:r>
        <w:rPr>
          <w:rFonts w:ascii="Arial" w:hAnsi="Arial" w:eastAsia="Arial"/>
          <w:b/>
          <w:i w:val="0"/>
          <w:sz w:val="22"/>
        </w:rPr>
        <w:t>AAAAMMDD:</w:t>
      </w:r>
      <w:r>
        <w:rPr>
          <w:rFonts w:ascii="Arial" w:hAnsi="Arial" w:eastAsia="Arial"/>
          <w:b w:val="0"/>
          <w:i w:val="0"/>
          <w:sz w:val="22"/>
        </w:rPr>
        <w:t xml:space="preserve"> fecha ancla del documento; el </w:t>
      </w:r>
      <w:r>
        <w:rPr>
          <w:rFonts w:ascii="Arial" w:hAnsi="Arial" w:eastAsia="Arial"/>
          <w:b/>
          <w:i w:val="0"/>
          <w:sz w:val="22"/>
        </w:rPr>
        <w:t>año</w:t>
      </w:r>
      <w:r>
        <w:rPr>
          <w:rFonts w:ascii="Arial" w:hAnsi="Arial" w:eastAsia="Arial"/>
          <w:b w:val="0"/>
          <w:i w:val="0"/>
          <w:sz w:val="22"/>
        </w:rPr>
        <w:t xml:space="preserve"> va en este segmento, no al inicio del código.</w:t>
      </w:r>
    </w:p>
    <w:p>
      <w:pPr>
        <w:pStyle w:val="ListBullet"/>
      </w:pPr>
      <w:r>
        <w:rPr>
          <w:rFonts w:ascii="Arial" w:hAnsi="Arial" w:eastAsia="Arial"/>
          <w:b/>
          <w:i w:val="0"/>
          <w:sz w:val="22"/>
        </w:rPr>
        <w:t>NN:</w:t>
      </w:r>
      <w:r>
        <w:rPr>
          <w:rFonts w:ascii="Arial" w:hAnsi="Arial" w:eastAsia="Arial"/>
          <w:b w:val="0"/>
          <w:i w:val="0"/>
          <w:sz w:val="22"/>
        </w:rPr>
        <w:t xml:space="preserve"> correlativo del mismo día, mesa y tipo (`01`, `02`…).</w:t>
      </w:r>
    </w:p>
    <w:p>
      <w:pPr>
        <w:spacing w:after="120"/>
      </w:pPr>
      <w:r>
        <w:rPr>
          <w:rFonts w:ascii="Arial" w:hAnsi="Arial" w:eastAsia="Arial"/>
          <w:b/>
          <w:i w:val="0"/>
          <w:sz w:val="22"/>
        </w:rPr>
        <w:t>Ejemplo de esta minuta:</w:t>
      </w:r>
      <w:r>
        <w:rPr>
          <w:rFonts w:ascii="Arial" w:hAnsi="Arial" w:eastAsia="Arial"/>
          <w:b w:val="0"/>
          <w:i w:val="0"/>
          <w:sz w:val="22"/>
        </w:rPr>
        <w:t xml:space="preserve"> `MIN-POR-ACT-20260414-01`. El detalle ampliado de códigos puede mantenerse en la documentación interna del repositorio de reportería (`CODIGOS.md`).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