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SECOND TERM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MIDTERM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>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English Language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ONE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>
          <w:rFonts w:ascii="Comic Sans MS" w:hAnsi="Comic Sans MS"/>
        </w:rPr>
      </w:pPr>
      <w:r>
        <w:rPr>
          <w:rFonts w:ascii="Comic Sans MS" w:hAnsi="Comic Sans MS"/>
        </w:rPr>
        <w:t xml:space="preserve"/>
      </w:r>
      <w:r>
        <w:rPr>
          <w:rFonts w:ascii="Comic Sans MS" w:hAnsi="Comic Sans MS"/>
        </w:rPr>
        <w:t xml:space="preserve">1. _________ is called the light of the body (a) Hand (b) Mouth (c) Eyes</w:t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br/>
      </w:r>
      <w:r>
        <w:rPr>
          <w:rFonts w:ascii="Comic Sans MS" w:hAnsi="Comic Sans MS"/>
        </w:rPr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  <w:font w:name="Comic Sans M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20</Words>
  <Characters>138</Characters>
  <CharactersWithSpaces>153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2025-02-17T10:20:00Z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