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Orders — Data Quality Contract</w:t>
      </w:r>
    </w:p>
    <w:p>
      <w:r>
        <w:t>Purpose: define the minimum quality conditions required before retail-order data is used for KPI reporting and business decisions.</w:t>
      </w:r>
    </w:p>
    <w:p>
      <w:pPr>
        <w:pStyle w:val="Heading1"/>
      </w:pPr>
      <w:r>
        <w:t>1. Scope and decision ownership</w:t>
      </w:r>
    </w:p>
    <w:p>
      <w:r>
        <w:t>Dataset: Raw Retail Orders. Primary decision owner: Retail Operations Manager, with Finance/Commercial Managers owning payment and revenue-related definitions. Data Engineering/Data Operations is responsible for monitoring and remediation.</w:t>
      </w:r>
    </w:p>
    <w:p>
      <w:pPr>
        <w:pStyle w:val="Heading1"/>
      </w:pPr>
      <w:r>
        <w:t>2. Data quality rules and failure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Contract threshold</w:t>
            </w:r>
          </w:p>
        </w:tc>
        <w:tc>
          <w:tcPr>
            <w:tcW w:type="dxa" w:w="1728"/>
          </w:tcPr>
          <w:p>
            <w:r>
              <w:t>Observed in supplied file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</w:tr>
      <w:tr>
        <w:tc>
          <w:tcPr>
            <w:tcW w:type="dxa" w:w="1728"/>
          </w:tcPr>
          <w:p>
            <w:r>
              <w:t>Completeness / C-order_id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C-order_date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C-customer_segment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C-city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C-category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C-quantity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C-unit_price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C-payment_status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Reject/quarantine records with missing required values; notify data owner.</w:t>
            </w:r>
          </w:p>
        </w:tc>
      </w:tr>
      <w:tr>
        <w:tc>
          <w:tcPr>
            <w:tcW w:type="dxa" w:w="1728"/>
          </w:tcPr>
          <w:p>
            <w:r>
              <w:t>Completeness / C-discount_pct</w:t>
            </w:r>
          </w:p>
        </w:tc>
        <w:tc>
          <w:tcPr>
            <w:tcW w:type="dxa" w:w="1728"/>
          </w:tcPr>
          <w:p>
            <w:r>
              <w:t>&gt;= 99%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Review missing discounts; default to zero only after documented business approval.</w:t>
            </w:r>
          </w:p>
        </w:tc>
      </w:tr>
      <w:tr>
        <w:tc>
          <w:tcPr>
            <w:tcW w:type="dxa" w:w="1728"/>
          </w:tcPr>
          <w:p>
            <w:r>
              <w:t>Uniqueness / U-order_id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91.7%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Quarantine duplicate order IDs and investigate source duplication before KPI publication.</w:t>
            </w:r>
          </w:p>
        </w:tc>
      </w:tr>
      <w:tr>
        <w:tc>
          <w:tcPr>
            <w:tcW w:type="dxa" w:w="1728"/>
          </w:tcPr>
          <w:p>
            <w:r>
              <w:t>Validity / V-date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Reject invalid/out-of-range dates and correct source format.</w:t>
            </w:r>
          </w:p>
        </w:tc>
      </w:tr>
      <w:tr>
        <w:tc>
          <w:tcPr>
            <w:tcW w:type="dxa" w:w="1728"/>
          </w:tcPr>
          <w:p>
            <w:r>
              <w:t>Validity / V-qty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Reject non-numeric, zero, negative, or fractional quantities.</w:t>
            </w:r>
          </w:p>
        </w:tc>
      </w:tr>
      <w:tr>
        <w:tc>
          <w:tcPr>
            <w:tcW w:type="dxa" w:w="1728"/>
          </w:tcPr>
          <w:p>
            <w:r>
              <w:t>Validity / V-price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 negative or missing prices.</w:t>
            </w:r>
          </w:p>
        </w:tc>
      </w:tr>
      <w:tr>
        <w:tc>
          <w:tcPr>
            <w:tcW w:type="dxa" w:w="1728"/>
          </w:tcPr>
          <w:p>
            <w:r>
              <w:t>Validity / V-discount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83.3%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Reject discounts outside 0–100 and investigate source.</w:t>
            </w:r>
          </w:p>
        </w:tc>
      </w:tr>
      <w:tr>
        <w:tc>
          <w:tcPr>
            <w:tcW w:type="dxa" w:w="1728"/>
          </w:tcPr>
          <w:p>
            <w:r>
              <w:t>Validity / V-segment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Normalize approved casing; reject values outside the controlled list.</w:t>
            </w:r>
          </w:p>
        </w:tc>
      </w:tr>
      <w:tr>
        <w:tc>
          <w:tcPr>
            <w:tcW w:type="dxa" w:w="1728"/>
          </w:tcPr>
          <w:p>
            <w:r>
              <w:t>Validity / V-category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Reject values outside the controlled category list.</w:t>
            </w:r>
          </w:p>
        </w:tc>
      </w:tr>
      <w:tr>
        <w:tc>
          <w:tcPr>
            <w:tcW w:type="dxa" w:w="1728"/>
          </w:tcPr>
          <w:p>
            <w:r>
              <w:t>Validity / V-payment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Normalize approved casing; reject values outside the controlled list.</w:t>
            </w:r>
          </w:p>
        </w:tc>
      </w:tr>
      <w:tr>
        <w:tc>
          <w:tcPr>
            <w:tcW w:type="dxa" w:w="1728"/>
          </w:tcPr>
          <w:p>
            <w:r>
              <w:t>Consistency / K-orderid-date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Investigate conflicting values for the same order ID.</w:t>
            </w:r>
          </w:p>
        </w:tc>
      </w:tr>
      <w:tr>
        <w:tc>
          <w:tcPr>
            <w:tcW w:type="dxa" w:w="1728"/>
          </w:tcPr>
          <w:p>
            <w:r>
              <w:t>Consistency / K-segment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Standardize casing/whitespace before KPI aggregation.</w:t>
            </w:r>
          </w:p>
        </w:tc>
      </w:tr>
      <w:tr>
        <w:tc>
          <w:tcPr>
            <w:tcW w:type="dxa" w:w="1728"/>
          </w:tcPr>
          <w:p>
            <w:r>
              <w:t>Consistency / K-status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Standardize casing/whitespace before KPI aggregation.</w:t>
            </w:r>
          </w:p>
        </w:tc>
      </w:tr>
      <w:tr>
        <w:tc>
          <w:tcPr>
            <w:tcW w:type="dxa" w:w="1728"/>
          </w:tcPr>
          <w:p>
            <w:r>
              <w:t>Freshness / F-order-date</w:t>
            </w:r>
          </w:p>
        </w:tc>
        <w:tc>
          <w:tcPr>
            <w:tcW w:type="dxa" w:w="1728"/>
          </w:tcPr>
          <w:p>
            <w:r>
              <w:t>&gt;= 100%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Escalate stale source delivery. For production, replace this proxy with ingestion timestamp.</w:t>
            </w:r>
          </w:p>
        </w:tc>
      </w:tr>
    </w:tbl>
    <w:p>
      <w:pPr>
        <w:pStyle w:val="Heading1"/>
      </w:pPr>
      <w:r>
        <w:t>3. Release decision</w:t>
      </w:r>
    </w:p>
    <w:p>
      <w:r>
        <w:t>KPI publication rule: do not publish production KPI outputs when a 100% validity or uniqueness control fails, or when required-field completeness falls below 99%. A failed freshness control triggers an operational escalation and requires confirmation of the reporting period before release.</w:t>
      </w:r>
    </w:p>
    <w:p>
      <w:pPr>
        <w:pStyle w:val="Heading1"/>
      </w:pPr>
      <w:r>
        <w:t>4. Normalization rules</w:t>
      </w:r>
    </w:p>
    <w:p>
      <w:pPr>
        <w:pStyle w:val="ListBullet"/>
      </w:pPr>
      <w:r>
        <w:t>Customer segment: trim whitespace and normalize case; allowed values are Student, Fresher, Professional.</w:t>
      </w:r>
    </w:p>
    <w:p>
      <w:pPr>
        <w:pStyle w:val="ListBullet"/>
      </w:pPr>
      <w:r>
        <w:t>Payment status: trim whitespace and normalize case; allowed values are Paid, Pending, Failed, Refunded.</w:t>
      </w:r>
    </w:p>
    <w:p>
      <w:pPr>
        <w:pStyle w:val="ListBullet"/>
      </w:pPr>
      <w:r>
        <w:t>Category: trim whitespace; allowed values are Learning Kit, Course Access, Mentor Session.</w:t>
      </w:r>
    </w:p>
    <w:p>
      <w:pPr>
        <w:pStyle w:val="ListBullet"/>
      </w:pPr>
      <w:r>
        <w:t>Discount: missing values are not automatically treated as zero in production; a zero default requires documented business justification.</w:t>
      </w:r>
    </w:p>
    <w:p>
      <w:pPr>
        <w:pStyle w:val="ListBullet"/>
      </w:pPr>
      <w:r>
        <w:t>Quantity: must be numeric, whole, and greater than zero.</w:t>
      </w:r>
    </w:p>
    <w:p>
      <w:pPr>
        <w:pStyle w:val="ListBullet"/>
      </w:pPr>
      <w:r>
        <w:t>Order date: must be parseable and within the allowed business date range.</w:t>
      </w:r>
    </w:p>
    <w:p>
      <w:pPr>
        <w:pStyle w:val="Heading1"/>
      </w:pPr>
      <w:r>
        <w:t>5. Freshness note</w:t>
      </w:r>
    </w:p>
    <w:p>
      <w:r>
        <w:t>The supplied dataset has no ingestion timestamp. Therefore the notebook uses latest order_date as a freshness proxy. This is not equivalent to pipeline freshness. A production contract should add ingestion_timestamp and enforce delivery within 24 hours (or the agreed SLA).</w:t>
      </w:r>
    </w:p>
    <w:p>
      <w:pPr>
        <w:pStyle w:val="Heading1"/>
      </w:pPr>
      <w:r>
        <w:t>6. Escalation workflow</w:t>
      </w:r>
    </w:p>
    <w:p>
      <w:pPr>
        <w:pStyle w:val="ListNumber"/>
      </w:pPr>
      <w:r>
        <w:t>Level 1 — Data Operations: quarantine failing records and open a data-quality incident.</w:t>
      </w:r>
    </w:p>
    <w:p>
      <w:pPr>
        <w:pStyle w:val="ListNumber"/>
      </w:pPr>
      <w:r>
        <w:t>Level 2 — Dataset owner: confirm whether the issue is expected business behavior or a source defect.</w:t>
      </w:r>
    </w:p>
    <w:p>
      <w:pPr>
        <w:pStyle w:val="ListNumber"/>
      </w:pPr>
      <w:r>
        <w:t>Level 3 — KPI decision owner: approve release only when the documented threshold is met or an explicit exception is recorded.</w:t>
      </w:r>
    </w:p>
    <w:p>
      <w:pPr>
        <w:pStyle w:val="ListNumber"/>
      </w:pPr>
      <w:r>
        <w:t>Close-out: rerun the executable profile and attach the passing result to the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