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F4B"/>
          <w:sz w:val="52"/>
        </w:rPr>
        <w:t>Borneo Tracker (T002)</w:t>
      </w:r>
    </w:p>
    <w:p>
      <w:pPr>
        <w:jc w:val="center"/>
      </w:pPr>
      <w:r>
        <w:rPr>
          <w:color w:val="555F6B"/>
          <w:sz w:val="26"/>
        </w:rPr>
        <w:t>ESG / SDG / Resilience Data Platform for Borneo</w:t>
      </w:r>
    </w:p>
    <w:p>
      <w:pPr>
        <w:jc w:val="center"/>
      </w:pPr>
      <w:r>
        <w:rPr>
          <w:i/>
          <w:color w:val="555F6B"/>
          <w:sz w:val="21"/>
        </w:rPr>
        <w:t>Progress Summary for Review  ·  June 2026</w:t>
      </w:r>
    </w:p>
    <w:p/>
    <w:p>
      <w:pPr>
        <w:pStyle w:val="Heading1"/>
      </w:pPr>
      <w:r>
        <w:rPr>
          <w:color w:val="1B7F4B"/>
        </w:rPr>
        <w:t>1.  Indicators Progress (Phase 3)</w:t>
      </w:r>
    </w:p>
    <w:p>
      <w:pPr>
        <w:spacing w:after="120"/>
      </w:pPr>
      <w:r>
        <w:rPr>
          <w:b w:val="0"/>
          <w:i w:val="0"/>
          <w:color w:val="1F2A37"/>
          <w:sz w:val="22"/>
        </w:rPr>
        <w:t>Phase 3 — the data layer — is substantially complete. We built an automated pipeline that pulls real data from eight providers into one standardised database, covering four territories (Sabah, Sarawak, Brunei, Kalimantan) across three frameworks (ESG, UN SDG, True Wealth Hexagon).</w:t>
      </w:r>
    </w:p>
    <w:p>
      <w:pPr>
        <w:spacing w:after="80"/>
      </w:pPr>
      <w:r>
        <w:rPr>
          <w:b/>
          <w:i w:val="0"/>
          <w:color w:val="1F2A37"/>
          <w:sz w:val="22"/>
        </w:rPr>
        <w:t>At a glance:</w:t>
      </w:r>
    </w:p>
    <w:p>
      <w:pPr>
        <w:pStyle w:val="ListBullet"/>
      </w:pPr>
      <w:r>
        <w:rPr>
          <w:b/>
        </w:rPr>
        <w:t>Volume:</w:t>
      </w:r>
      <w:r>
        <w:t xml:space="preserve"> 145 data rows · 32 indicators · 4 territories · 8 sources.</w:t>
      </w:r>
    </w:p>
    <w:p>
      <w:pPr>
        <w:pStyle w:val="ListBullet"/>
      </w:pPr>
      <w:r>
        <w:rPr>
          <w:b/>
        </w:rPr>
        <w:t>Coverage:</w:t>
      </w:r>
      <w:r>
        <w:t xml:space="preserve"> all 6 Hexagon pillars · all 3 ESG categories · 11 UN SDG goals (original target was 6).</w:t>
      </w:r>
    </w:p>
    <w:p>
      <w:pPr>
        <w:pStyle w:val="ListBullet"/>
      </w:pPr>
      <w:r>
        <w:rPr>
          <w:b/>
        </w:rPr>
        <w:t>Confidence:</w:t>
      </w:r>
      <w:r>
        <w:t xml:space="preserve"> High 109, Medium 18, Manual 18 — every value carries a trust level.</w:t>
      </w:r>
    </w:p>
    <w:p>
      <w:pPr>
        <w:spacing w:after="80"/>
      </w:pPr>
      <w:r>
        <w:rPr>
          <w:b w:val="0"/>
          <w:i w:val="0"/>
          <w:color w:val="555F6B"/>
          <w:sz w:val="20"/>
        </w:rPr>
        <w:t>Indicators collected (unified metric per concept). Tag: H = exact live data, M = national figure applied to a territory or a 5-province average, R = cited official report.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880"/>
          </w:tcPr>
          <w:p>
            <w:r/>
            <w:r>
              <w:rPr>
                <w:b/>
                <w:sz w:val="19"/>
              </w:rPr>
              <w:t>Indicator (unified metric)</w:t>
            </w:r>
          </w:p>
        </w:tc>
        <w:tc>
          <w:tcPr>
            <w:tcW w:type="dxa" w:w="1440"/>
          </w:tcPr>
          <w:p>
            <w:r/>
            <w:r>
              <w:rPr>
                <w:b/>
                <w:sz w:val="19"/>
              </w:rPr>
              <w:t>Framework</w:t>
            </w:r>
          </w:p>
        </w:tc>
        <w:tc>
          <w:tcPr>
            <w:tcW w:type="dxa" w:w="1224"/>
          </w:tcPr>
          <w:p>
            <w:r/>
            <w:r>
              <w:rPr>
                <w:b/>
                <w:sz w:val="19"/>
              </w:rPr>
              <w:t>Sabah</w:t>
            </w:r>
          </w:p>
        </w:tc>
        <w:tc>
          <w:tcPr>
            <w:tcW w:type="dxa" w:w="1224"/>
          </w:tcPr>
          <w:p>
            <w:r/>
            <w:r>
              <w:rPr>
                <w:b/>
                <w:sz w:val="19"/>
              </w:rPr>
              <w:t>Sarawak</w:t>
            </w:r>
          </w:p>
        </w:tc>
        <w:tc>
          <w:tcPr>
            <w:tcW w:type="dxa" w:w="1224"/>
          </w:tcPr>
          <w:p>
            <w:r/>
            <w:r>
              <w:rPr>
                <w:b/>
                <w:sz w:val="19"/>
              </w:rPr>
              <w:t>Brunei</w:t>
            </w:r>
          </w:p>
        </w:tc>
        <w:tc>
          <w:tcPr>
            <w:tcW w:type="dxa" w:w="1368"/>
          </w:tcPr>
          <w:p>
            <w:r/>
            <w:r>
              <w:rPr>
                <w:b/>
                <w:sz w:val="19"/>
              </w:rPr>
              <w:t>Kalimantan</w:t>
            </w:r>
          </w:p>
        </w:tc>
      </w:tr>
      <w:tr>
        <w:tc>
          <w:tcPr>
            <w:tcW w:type="dxa" w:w="2880"/>
          </w:tcPr>
          <w:p>
            <w:r/>
            <w:r>
              <w:rPr>
                <w:sz w:val="18"/>
              </w:rPr>
              <w:t>Forest cover (million ha)</w:t>
            </w:r>
          </w:p>
        </w:tc>
        <w:tc>
          <w:tcPr>
            <w:tcW w:type="dxa" w:w="1440"/>
          </w:tcPr>
          <w:p>
            <w:r/>
            <w:r>
              <w:rPr>
                <w:sz w:val="18"/>
              </w:rPr>
              <w:t>E · SDG15</w:t>
            </w:r>
          </w:p>
        </w:tc>
        <w:tc>
          <w:tcPr>
            <w:tcW w:type="dxa" w:w="1224"/>
          </w:tcPr>
          <w:p>
            <w:r/>
            <w:r>
              <w:rPr>
                <w:sz w:val="18"/>
              </w:rPr>
              <w:t>6.7 H</w:t>
            </w:r>
          </w:p>
        </w:tc>
        <w:tc>
          <w:tcPr>
            <w:tcW w:type="dxa" w:w="1224"/>
          </w:tcPr>
          <w:p>
            <w:r/>
            <w:r>
              <w:rPr>
                <w:sz w:val="18"/>
              </w:rPr>
              <w:t>11.6 H</w:t>
            </w:r>
          </w:p>
        </w:tc>
        <w:tc>
          <w:tcPr>
            <w:tcW w:type="dxa" w:w="1224"/>
          </w:tcPr>
          <w:p>
            <w:r/>
            <w:r>
              <w:rPr>
                <w:sz w:val="18"/>
              </w:rPr>
              <w:t>0.5 H</w:t>
            </w:r>
          </w:p>
        </w:tc>
        <w:tc>
          <w:tcPr>
            <w:tcW w:type="dxa" w:w="1368"/>
          </w:tcPr>
          <w:p>
            <w:r/>
            <w:r>
              <w:rPr>
                <w:sz w:val="18"/>
              </w:rPr>
              <w:t>49.9 H</w:t>
            </w:r>
          </w:p>
        </w:tc>
      </w:tr>
      <w:tr>
        <w:tc>
          <w:tcPr>
            <w:tcW w:type="dxa" w:w="2880"/>
          </w:tcPr>
          <w:p>
            <w:r/>
            <w:r>
              <w:rPr>
                <w:sz w:val="18"/>
              </w:rPr>
              <w:t>Fire alerts (VIIRS, 2025)</w:t>
            </w:r>
          </w:p>
        </w:tc>
        <w:tc>
          <w:tcPr>
            <w:tcW w:type="dxa" w:w="1440"/>
          </w:tcPr>
          <w:p>
            <w:r/>
            <w:r>
              <w:rPr>
                <w:sz w:val="18"/>
              </w:rPr>
              <w:t>E · SDG13</w:t>
            </w:r>
          </w:p>
        </w:tc>
        <w:tc>
          <w:tcPr>
            <w:tcW w:type="dxa" w:w="1224"/>
          </w:tcPr>
          <w:p>
            <w:r/>
            <w:r>
              <w:rPr>
                <w:sz w:val="18"/>
              </w:rPr>
              <w:t>697 H</w:t>
            </w:r>
          </w:p>
        </w:tc>
        <w:tc>
          <w:tcPr>
            <w:tcW w:type="dxa" w:w="1224"/>
          </w:tcPr>
          <w:p>
            <w:r/>
            <w:r>
              <w:rPr>
                <w:sz w:val="18"/>
              </w:rPr>
              <w:t>3,326 H</w:t>
            </w:r>
          </w:p>
        </w:tc>
        <w:tc>
          <w:tcPr>
            <w:tcW w:type="dxa" w:w="1224"/>
          </w:tcPr>
          <w:p>
            <w:r/>
            <w:r>
              <w:rPr>
                <w:sz w:val="18"/>
              </w:rPr>
              <w:t>128 H</w:t>
            </w:r>
          </w:p>
        </w:tc>
        <w:tc>
          <w:tcPr>
            <w:tcW w:type="dxa" w:w="1368"/>
          </w:tcPr>
          <w:p>
            <w:r/>
            <w:r>
              <w:rPr>
                <w:sz w:val="18"/>
              </w:rPr>
              <w:t>27,652 H</w:t>
            </w:r>
          </w:p>
        </w:tc>
      </w:tr>
      <w:tr>
        <w:tc>
          <w:tcPr>
            <w:tcW w:type="dxa" w:w="2880"/>
          </w:tcPr>
          <w:p>
            <w:r/>
            <w:r>
              <w:rPr>
                <w:sz w:val="18"/>
              </w:rPr>
              <w:t>Air quality (AQI)</w:t>
            </w:r>
          </w:p>
        </w:tc>
        <w:tc>
          <w:tcPr>
            <w:tcW w:type="dxa" w:w="1440"/>
          </w:tcPr>
          <w:p>
            <w:r/>
            <w:r>
              <w:rPr>
                <w:sz w:val="18"/>
              </w:rPr>
              <w:t>E · SDG13</w:t>
            </w:r>
          </w:p>
        </w:tc>
        <w:tc>
          <w:tcPr>
            <w:tcW w:type="dxa" w:w="1224"/>
          </w:tcPr>
          <w:p>
            <w:r/>
            <w:r>
              <w:rPr>
                <w:sz w:val="18"/>
              </w:rPr>
              <w:t>38 M</w:t>
            </w:r>
          </w:p>
        </w:tc>
        <w:tc>
          <w:tcPr>
            <w:tcW w:type="dxa" w:w="1224"/>
          </w:tcPr>
          <w:p>
            <w:r/>
            <w:r>
              <w:rPr>
                <w:sz w:val="18"/>
              </w:rPr>
              <w:t>39 M</w:t>
            </w:r>
          </w:p>
        </w:tc>
        <w:tc>
          <w:tcPr>
            <w:tcW w:type="dxa" w:w="1224"/>
          </w:tcPr>
          <w:p>
            <w:r/>
            <w:r>
              <w:rPr>
                <w:sz w:val="18"/>
              </w:rPr>
              <w:t>7 M</w:t>
            </w:r>
          </w:p>
        </w:tc>
        <w:tc>
          <w:tcPr>
            <w:tcW w:type="dxa" w:w="1368"/>
          </w:tcPr>
          <w:p>
            <w:r/>
            <w:r>
              <w:rPr>
                <w:sz w:val="18"/>
              </w:rPr>
              <w:t>56 M</w:t>
            </w:r>
          </w:p>
        </w:tc>
      </w:tr>
      <w:tr>
        <w:tc>
          <w:tcPr>
            <w:tcW w:type="dxa" w:w="2880"/>
          </w:tcPr>
          <w:p>
            <w:r/>
            <w:r>
              <w:rPr>
                <w:sz w:val="18"/>
              </w:rPr>
              <w:t>Clean water access (%)</w:t>
            </w:r>
          </w:p>
        </w:tc>
        <w:tc>
          <w:tcPr>
            <w:tcW w:type="dxa" w:w="1440"/>
          </w:tcPr>
          <w:p>
            <w:r/>
            <w:r>
              <w:rPr>
                <w:sz w:val="18"/>
              </w:rPr>
              <w:t>S · SDG6</w:t>
            </w:r>
          </w:p>
        </w:tc>
        <w:tc>
          <w:tcPr>
            <w:tcW w:type="dxa" w:w="1224"/>
          </w:tcPr>
          <w:p>
            <w:r/>
            <w:r>
              <w:rPr>
                <w:sz w:val="18"/>
              </w:rPr>
              <w:t>80.5 H</w:t>
            </w:r>
          </w:p>
        </w:tc>
        <w:tc>
          <w:tcPr>
            <w:tcW w:type="dxa" w:w="1224"/>
          </w:tcPr>
          <w:p>
            <w:r/>
            <w:r>
              <w:rPr>
                <w:sz w:val="18"/>
              </w:rPr>
              <w:t>83.7 H</w:t>
            </w:r>
          </w:p>
        </w:tc>
        <w:tc>
          <w:tcPr>
            <w:tcW w:type="dxa" w:w="1224"/>
          </w:tcPr>
          <w:p>
            <w:r/>
            <w:r>
              <w:rPr>
                <w:sz w:val="18"/>
              </w:rPr>
              <w:t>100 H</w:t>
            </w:r>
          </w:p>
        </w:tc>
        <w:tc>
          <w:tcPr>
            <w:tcW w:type="dxa" w:w="1368"/>
          </w:tcPr>
          <w:p>
            <w:r/>
            <w:r>
              <w:rPr>
                <w:sz w:val="18"/>
              </w:rPr>
              <w:t>89.4 M</w:t>
            </w:r>
          </w:p>
        </w:tc>
      </w:tr>
      <w:tr>
        <w:tc>
          <w:tcPr>
            <w:tcW w:type="dxa" w:w="2880"/>
          </w:tcPr>
          <w:p>
            <w:r/>
            <w:r>
              <w:rPr>
                <w:sz w:val="18"/>
              </w:rPr>
              <w:t>Unemployment (%)</w:t>
            </w:r>
          </w:p>
        </w:tc>
        <w:tc>
          <w:tcPr>
            <w:tcW w:type="dxa" w:w="1440"/>
          </w:tcPr>
          <w:p>
            <w:r/>
            <w:r>
              <w:rPr>
                <w:sz w:val="18"/>
              </w:rPr>
              <w:t>S · SDG8</w:t>
            </w:r>
          </w:p>
        </w:tc>
        <w:tc>
          <w:tcPr>
            <w:tcW w:type="dxa" w:w="1224"/>
          </w:tcPr>
          <w:p>
            <w:r/>
            <w:r>
              <w:rPr>
                <w:sz w:val="18"/>
              </w:rPr>
              <w:t>5.7 H</w:t>
            </w:r>
          </w:p>
        </w:tc>
        <w:tc>
          <w:tcPr>
            <w:tcW w:type="dxa" w:w="1224"/>
          </w:tcPr>
          <w:p>
            <w:r/>
            <w:r>
              <w:rPr>
                <w:sz w:val="18"/>
              </w:rPr>
              <w:t>3.1 H</w:t>
            </w:r>
          </w:p>
        </w:tc>
        <w:tc>
          <w:tcPr>
            <w:tcW w:type="dxa" w:w="1224"/>
          </w:tcPr>
          <w:p>
            <w:r/>
            <w:r>
              <w:rPr>
                <w:sz w:val="18"/>
              </w:rPr>
              <w:t>5.3 H</w:t>
            </w:r>
          </w:p>
        </w:tc>
        <w:tc>
          <w:tcPr>
            <w:tcW w:type="dxa" w:w="1368"/>
          </w:tcPr>
          <w:p>
            <w:r/>
            <w:r>
              <w:rPr>
                <w:sz w:val="18"/>
              </w:rPr>
              <w:t>4.3 M</w:t>
            </w:r>
          </w:p>
        </w:tc>
      </w:tr>
      <w:tr>
        <w:tc>
          <w:tcPr>
            <w:tcW w:type="dxa" w:w="2880"/>
          </w:tcPr>
          <w:p>
            <w:r/>
            <w:r>
              <w:rPr>
                <w:sz w:val="18"/>
              </w:rPr>
              <w:t>GDP growth (%)</w:t>
            </w:r>
          </w:p>
        </w:tc>
        <w:tc>
          <w:tcPr>
            <w:tcW w:type="dxa" w:w="1440"/>
          </w:tcPr>
          <w:p>
            <w:r/>
            <w:r>
              <w:rPr>
                <w:sz w:val="18"/>
              </w:rPr>
              <w:t>S · SDG8</w:t>
            </w:r>
          </w:p>
        </w:tc>
        <w:tc>
          <w:tcPr>
            <w:tcW w:type="dxa" w:w="1224"/>
          </w:tcPr>
          <w:p>
            <w:r/>
            <w:r>
              <w:rPr>
                <w:sz w:val="18"/>
              </w:rPr>
              <w:t>1.3 H</w:t>
            </w:r>
          </w:p>
        </w:tc>
        <w:tc>
          <w:tcPr>
            <w:tcW w:type="dxa" w:w="1224"/>
          </w:tcPr>
          <w:p>
            <w:r/>
            <w:r>
              <w:rPr>
                <w:sz w:val="18"/>
              </w:rPr>
              <w:t>1.2 H</w:t>
            </w:r>
          </w:p>
        </w:tc>
        <w:tc>
          <w:tcPr>
            <w:tcW w:type="dxa" w:w="1224"/>
          </w:tcPr>
          <w:p>
            <w:r/>
            <w:r>
              <w:rPr>
                <w:sz w:val="18"/>
              </w:rPr>
              <w:t>4.1 H</w:t>
            </w:r>
          </w:p>
        </w:tc>
        <w:tc>
          <w:tcPr>
            <w:tcW w:type="dxa" w:w="1368"/>
          </w:tcPr>
          <w:p>
            <w:r/>
            <w:r>
              <w:rPr>
                <w:sz w:val="18"/>
              </w:rPr>
              <w:t>4.5 M</w:t>
            </w:r>
          </w:p>
        </w:tc>
      </w:tr>
      <w:tr>
        <w:tc>
          <w:tcPr>
            <w:tcW w:type="dxa" w:w="2880"/>
          </w:tcPr>
          <w:p>
            <w:r/>
            <w:r>
              <w:rPr>
                <w:sz w:val="18"/>
              </w:rPr>
              <w:t>Life expectancy (years)</w:t>
            </w:r>
          </w:p>
        </w:tc>
        <w:tc>
          <w:tcPr>
            <w:tcW w:type="dxa" w:w="1440"/>
          </w:tcPr>
          <w:p>
            <w:r/>
            <w:r>
              <w:rPr>
                <w:sz w:val="18"/>
              </w:rPr>
              <w:t>S · SDG3</w:t>
            </w:r>
          </w:p>
        </w:tc>
        <w:tc>
          <w:tcPr>
            <w:tcW w:type="dxa" w:w="1224"/>
          </w:tcPr>
          <w:p>
            <w:r/>
            <w:r>
              <w:rPr>
                <w:sz w:val="18"/>
              </w:rPr>
              <w:t>75.3 R</w:t>
            </w:r>
          </w:p>
        </w:tc>
        <w:tc>
          <w:tcPr>
            <w:tcW w:type="dxa" w:w="1224"/>
          </w:tcPr>
          <w:p>
            <w:r/>
            <w:r>
              <w:rPr>
                <w:sz w:val="18"/>
              </w:rPr>
              <w:t>75.4 R</w:t>
            </w:r>
          </w:p>
        </w:tc>
        <w:tc>
          <w:tcPr>
            <w:tcW w:type="dxa" w:w="1224"/>
          </w:tcPr>
          <w:p>
            <w:r/>
            <w:r>
              <w:rPr>
                <w:sz w:val="18"/>
              </w:rPr>
              <w:t>75.5 H</w:t>
            </w:r>
          </w:p>
        </w:tc>
        <w:tc>
          <w:tcPr>
            <w:tcW w:type="dxa" w:w="1368"/>
          </w:tcPr>
          <w:p>
            <w:r/>
            <w:r>
              <w:rPr>
                <w:sz w:val="18"/>
              </w:rPr>
              <w:t>72.3 M</w:t>
            </w:r>
          </w:p>
        </w:tc>
      </w:tr>
      <w:tr>
        <w:tc>
          <w:tcPr>
            <w:tcW w:type="dxa" w:w="2880"/>
          </w:tcPr>
          <w:p>
            <w:r/>
            <w:r>
              <w:rPr>
                <w:sz w:val="18"/>
              </w:rPr>
              <w:t>Mean years schooling</w:t>
            </w:r>
          </w:p>
        </w:tc>
        <w:tc>
          <w:tcPr>
            <w:tcW w:type="dxa" w:w="1440"/>
          </w:tcPr>
          <w:p>
            <w:r/>
            <w:r>
              <w:rPr>
                <w:sz w:val="18"/>
              </w:rPr>
              <w:t>S · SDG4</w:t>
            </w:r>
          </w:p>
        </w:tc>
        <w:tc>
          <w:tcPr>
            <w:tcW w:type="dxa" w:w="1224"/>
          </w:tcPr>
          <w:p>
            <w:r/>
            <w:r>
              <w:rPr>
                <w:sz w:val="18"/>
              </w:rPr>
              <w:t>8.7 R</w:t>
            </w:r>
          </w:p>
        </w:tc>
        <w:tc>
          <w:tcPr>
            <w:tcW w:type="dxa" w:w="1224"/>
          </w:tcPr>
          <w:p>
            <w:r/>
            <w:r>
              <w:rPr>
                <w:sz w:val="18"/>
              </w:rPr>
              <w:t>8.7 R</w:t>
            </w:r>
          </w:p>
        </w:tc>
        <w:tc>
          <w:tcPr>
            <w:tcW w:type="dxa" w:w="1224"/>
          </w:tcPr>
          <w:p>
            <w:r/>
            <w:r>
              <w:rPr>
                <w:sz w:val="18"/>
              </w:rPr>
              <w:t>9.3 R</w:t>
            </w:r>
          </w:p>
        </w:tc>
        <w:tc>
          <w:tcPr>
            <w:tcW w:type="dxa" w:w="1368"/>
          </w:tcPr>
          <w:p>
            <w:r/>
            <w:r>
              <w:rPr>
                <w:sz w:val="18"/>
              </w:rPr>
              <w:t>9.1 M</w:t>
            </w:r>
          </w:p>
        </w:tc>
      </w:tr>
      <w:tr>
        <w:tc>
          <w:tcPr>
            <w:tcW w:type="dxa" w:w="2880"/>
          </w:tcPr>
          <w:p>
            <w:r/>
            <w:r>
              <w:rPr>
                <w:sz w:val="18"/>
              </w:rPr>
              <w:t>Poverty rate (%)</w:t>
            </w:r>
          </w:p>
        </w:tc>
        <w:tc>
          <w:tcPr>
            <w:tcW w:type="dxa" w:w="1440"/>
          </w:tcPr>
          <w:p>
            <w:r/>
            <w:r>
              <w:rPr>
                <w:sz w:val="18"/>
              </w:rPr>
              <w:t>S · SDG1</w:t>
            </w:r>
          </w:p>
        </w:tc>
        <w:tc>
          <w:tcPr>
            <w:tcW w:type="dxa" w:w="1224"/>
          </w:tcPr>
          <w:p>
            <w:r/>
            <w:r>
              <w:rPr>
                <w:sz w:val="18"/>
              </w:rPr>
              <w:t>19.7 H</w:t>
            </w:r>
          </w:p>
        </w:tc>
        <w:tc>
          <w:tcPr>
            <w:tcW w:type="dxa" w:w="1224"/>
          </w:tcPr>
          <w:p>
            <w:r/>
            <w:r>
              <w:rPr>
                <w:sz w:val="18"/>
              </w:rPr>
              <w:t>10.8 H</w:t>
            </w:r>
          </w:p>
        </w:tc>
        <w:tc>
          <w:tcPr>
            <w:tcW w:type="dxa" w:w="1224"/>
          </w:tcPr>
          <w:p>
            <w:r/>
            <w:r>
              <w:rPr>
                <w:sz w:val="18"/>
              </w:rPr>
              <w:t>— gap</w:t>
            </w:r>
          </w:p>
        </w:tc>
        <w:tc>
          <w:tcPr>
            <w:tcW w:type="dxa" w:w="1368"/>
          </w:tcPr>
          <w:p>
            <w:r/>
            <w:r>
              <w:rPr>
                <w:sz w:val="18"/>
              </w:rPr>
              <w:t>5.1 M</w:t>
            </w:r>
          </w:p>
        </w:tc>
      </w:tr>
      <w:tr>
        <w:tc>
          <w:tcPr>
            <w:tcW w:type="dxa" w:w="2880"/>
          </w:tcPr>
          <w:p>
            <w:r/>
            <w:r>
              <w:rPr>
                <w:sz w:val="18"/>
              </w:rPr>
              <w:t>Governance (WGI score)</w:t>
            </w:r>
          </w:p>
        </w:tc>
        <w:tc>
          <w:tcPr>
            <w:tcW w:type="dxa" w:w="1440"/>
          </w:tcPr>
          <w:p>
            <w:r/>
            <w:r>
              <w:rPr>
                <w:sz w:val="18"/>
              </w:rPr>
              <w:t>G · SDG16</w:t>
            </w:r>
          </w:p>
        </w:tc>
        <w:tc>
          <w:tcPr>
            <w:tcW w:type="dxa" w:w="1224"/>
          </w:tcPr>
          <w:p>
            <w:r/>
            <w:r>
              <w:rPr>
                <w:sz w:val="18"/>
              </w:rPr>
              <w:t>57.9 M</w:t>
            </w:r>
          </w:p>
        </w:tc>
        <w:tc>
          <w:tcPr>
            <w:tcW w:type="dxa" w:w="1224"/>
          </w:tcPr>
          <w:p>
            <w:r/>
            <w:r>
              <w:rPr>
                <w:sz w:val="18"/>
              </w:rPr>
              <w:t>57.9 M</w:t>
            </w:r>
          </w:p>
        </w:tc>
        <w:tc>
          <w:tcPr>
            <w:tcW w:type="dxa" w:w="1224"/>
          </w:tcPr>
          <w:p>
            <w:r/>
            <w:r>
              <w:rPr>
                <w:sz w:val="18"/>
              </w:rPr>
              <w:t>71.9 M</w:t>
            </w:r>
          </w:p>
        </w:tc>
        <w:tc>
          <w:tcPr>
            <w:tcW w:type="dxa" w:w="1368"/>
          </w:tcPr>
          <w:p>
            <w:r/>
            <w:r>
              <w:rPr>
                <w:sz w:val="18"/>
              </w:rPr>
              <w:t>36.8 M</w:t>
            </w:r>
          </w:p>
        </w:tc>
      </w:tr>
      <w:tr>
        <w:tc>
          <w:tcPr>
            <w:tcW w:type="dxa" w:w="2880"/>
          </w:tcPr>
          <w:p>
            <w:r/>
            <w:r>
              <w:rPr>
                <w:sz w:val="18"/>
              </w:rPr>
              <w:t>Paddy production (tonnes)</w:t>
            </w:r>
          </w:p>
        </w:tc>
        <w:tc>
          <w:tcPr>
            <w:tcW w:type="dxa" w:w="1440"/>
          </w:tcPr>
          <w:p>
            <w:r/>
            <w:r>
              <w:rPr>
                <w:sz w:val="18"/>
              </w:rPr>
              <w:t>S · SDG2</w:t>
            </w:r>
          </w:p>
        </w:tc>
        <w:tc>
          <w:tcPr>
            <w:tcW w:type="dxa" w:w="1224"/>
          </w:tcPr>
          <w:p>
            <w:r/>
            <w:r>
              <w:rPr>
                <w:sz w:val="18"/>
              </w:rPr>
              <w:t>107,565 H</w:t>
            </w:r>
          </w:p>
        </w:tc>
        <w:tc>
          <w:tcPr>
            <w:tcW w:type="dxa" w:w="1224"/>
          </w:tcPr>
          <w:p>
            <w:r/>
            <w:r>
              <w:rPr>
                <w:sz w:val="18"/>
              </w:rPr>
              <w:t>147,272 H</w:t>
            </w:r>
          </w:p>
        </w:tc>
        <w:tc>
          <w:tcPr>
            <w:tcW w:type="dxa" w:w="1224"/>
          </w:tcPr>
          <w:p>
            <w:r/>
            <w:r>
              <w:rPr>
                <w:sz w:val="18"/>
              </w:rPr>
              <w:t>3,700 R</w:t>
            </w:r>
          </w:p>
        </w:tc>
        <w:tc>
          <w:tcPr>
            <w:tcW w:type="dxa" w:w="1368"/>
          </w:tcPr>
          <w:p>
            <w:r/>
            <w:r>
              <w:rPr>
                <w:sz w:val="18"/>
              </w:rPr>
              <w:t>1.62 M H</w:t>
            </w:r>
          </w:p>
        </w:tc>
      </w:tr>
      <w:tr>
        <w:tc>
          <w:tcPr>
            <w:tcW w:type="dxa" w:w="2880"/>
          </w:tcPr>
          <w:p>
            <w:r/>
            <w:r>
              <w:rPr>
                <w:sz w:val="18"/>
              </w:rPr>
              <w:t>Electrification (%)</w:t>
            </w:r>
          </w:p>
        </w:tc>
        <w:tc>
          <w:tcPr>
            <w:tcW w:type="dxa" w:w="1440"/>
          </w:tcPr>
          <w:p>
            <w:r/>
            <w:r>
              <w:rPr>
                <w:sz w:val="18"/>
              </w:rPr>
              <w:t>S · SDG7</w:t>
            </w:r>
          </w:p>
        </w:tc>
        <w:tc>
          <w:tcPr>
            <w:tcW w:type="dxa" w:w="1224"/>
          </w:tcPr>
          <w:p>
            <w:r/>
            <w:r>
              <w:rPr>
                <w:sz w:val="18"/>
              </w:rPr>
              <w:t>— gap</w:t>
            </w:r>
          </w:p>
        </w:tc>
        <w:tc>
          <w:tcPr>
            <w:tcW w:type="dxa" w:w="1224"/>
          </w:tcPr>
          <w:p>
            <w:r/>
            <w:r>
              <w:rPr>
                <w:sz w:val="18"/>
              </w:rPr>
              <w:t>99.4 R</w:t>
            </w:r>
          </w:p>
        </w:tc>
        <w:tc>
          <w:tcPr>
            <w:tcW w:type="dxa" w:w="1224"/>
          </w:tcPr>
          <w:p>
            <w:r/>
            <w:r>
              <w:rPr>
                <w:sz w:val="18"/>
              </w:rPr>
              <w:t>100 H</w:t>
            </w:r>
          </w:p>
        </w:tc>
        <w:tc>
          <w:tcPr>
            <w:tcW w:type="dxa" w:w="1368"/>
          </w:tcPr>
          <w:p>
            <w:r/>
            <w:r>
              <w:rPr>
                <w:sz w:val="18"/>
              </w:rPr>
              <w:t>93.1 M</w:t>
            </w:r>
          </w:p>
        </w:tc>
      </w:tr>
      <w:tr>
        <w:tc>
          <w:tcPr>
            <w:tcW w:type="dxa" w:w="2880"/>
          </w:tcPr>
          <w:p>
            <w:r/>
            <w:r>
              <w:rPr>
                <w:sz w:val="18"/>
              </w:rPr>
              <w:t>Households</w:t>
            </w:r>
          </w:p>
        </w:tc>
        <w:tc>
          <w:tcPr>
            <w:tcW w:type="dxa" w:w="1440"/>
          </w:tcPr>
          <w:p>
            <w:r/>
            <w:r>
              <w:rPr>
                <w:sz w:val="18"/>
              </w:rPr>
              <w:t>S · SDG11</w:t>
            </w:r>
          </w:p>
        </w:tc>
        <w:tc>
          <w:tcPr>
            <w:tcW w:type="dxa" w:w="1224"/>
          </w:tcPr>
          <w:p>
            <w:r/>
            <w:r>
              <w:rPr>
                <w:sz w:val="18"/>
              </w:rPr>
              <w:t>806,300 H</w:t>
            </w:r>
          </w:p>
        </w:tc>
        <w:tc>
          <w:tcPr>
            <w:tcW w:type="dxa" w:w="1224"/>
          </w:tcPr>
          <w:p>
            <w:r/>
            <w:r>
              <w:rPr>
                <w:sz w:val="18"/>
              </w:rPr>
              <w:t>656,300 H</w:t>
            </w:r>
          </w:p>
        </w:tc>
        <w:tc>
          <w:tcPr>
            <w:tcW w:type="dxa" w:w="1224"/>
          </w:tcPr>
          <w:p>
            <w:r/>
            <w:r>
              <w:rPr>
                <w:sz w:val="18"/>
              </w:rPr>
              <w:t>87,137 H</w:t>
            </w:r>
          </w:p>
        </w:tc>
        <w:tc>
          <w:tcPr>
            <w:tcW w:type="dxa" w:w="1368"/>
          </w:tcPr>
          <w:p>
            <w:r/>
            <w:r>
              <w:rPr>
                <w:sz w:val="18"/>
              </w:rPr>
              <w:t>1.63 M H</w:t>
            </w:r>
          </w:p>
        </w:tc>
      </w:tr>
      <w:tr>
        <w:tc>
          <w:tcPr>
            <w:tcW w:type="dxa" w:w="2880"/>
          </w:tcPr>
          <w:p>
            <w:r/>
            <w:r>
              <w:rPr>
                <w:sz w:val="18"/>
              </w:rPr>
              <w:t>Visitor arrivals (2024)</w:t>
            </w:r>
          </w:p>
        </w:tc>
        <w:tc>
          <w:tcPr>
            <w:tcW w:type="dxa" w:w="1440"/>
          </w:tcPr>
          <w:p>
            <w:r/>
            <w:r>
              <w:rPr>
                <w:sz w:val="18"/>
              </w:rPr>
              <w:t>S · SDG8</w:t>
            </w:r>
          </w:p>
        </w:tc>
        <w:tc>
          <w:tcPr>
            <w:tcW w:type="dxa" w:w="1224"/>
          </w:tcPr>
          <w:p>
            <w:r/>
            <w:r>
              <w:rPr>
                <w:sz w:val="18"/>
              </w:rPr>
              <w:t>3.2 M R</w:t>
            </w:r>
          </w:p>
        </w:tc>
        <w:tc>
          <w:tcPr>
            <w:tcW w:type="dxa" w:w="1224"/>
          </w:tcPr>
          <w:p>
            <w:r/>
            <w:r>
              <w:rPr>
                <w:sz w:val="18"/>
              </w:rPr>
              <w:t>4.83 M R</w:t>
            </w:r>
          </w:p>
        </w:tc>
        <w:tc>
          <w:tcPr>
            <w:tcW w:type="dxa" w:w="1224"/>
          </w:tcPr>
          <w:p>
            <w:r/>
            <w:r>
              <w:rPr>
                <w:sz w:val="18"/>
              </w:rPr>
              <w:t>678,037 R</w:t>
            </w:r>
          </w:p>
        </w:tc>
        <w:tc>
          <w:tcPr>
            <w:tcW w:type="dxa" w:w="1368"/>
          </w:tcPr>
          <w:p>
            <w:r/>
            <w:r>
              <w:rPr>
                <w:sz w:val="18"/>
              </w:rPr>
              <w:t>4.74 M H</w:t>
            </w:r>
          </w:p>
        </w:tc>
      </w:tr>
    </w:tbl>
    <w:p>
      <w:pPr>
        <w:spacing w:after="120"/>
      </w:pPr>
      <w:r>
        <w:rPr>
          <w:b w:val="0"/>
          <w:i w:val="0"/>
          <w:color w:val="555F6B"/>
          <w:sz w:val="20"/>
        </w:rPr>
        <w:t>Sources: data.gov.my (Malaysia), World Bank (Brunei), UN SDG API, BPS Indonesia, Global Forest Watch, NASA FIRMS, WAQI, plus a cited manual layer for report-only figures.</w:t>
      </w:r>
    </w:p>
    <w:p>
      <w:pPr>
        <w:pStyle w:val="Heading1"/>
      </w:pPr>
      <w:r>
        <w:rPr>
          <w:color w:val="1B7F4B"/>
        </w:rPr>
        <w:t>2.  Current Limitations</w:t>
      </w:r>
    </w:p>
    <w:p>
      <w:pPr>
        <w:spacing w:after="120"/>
      </w:pPr>
      <w:r>
        <w:rPr>
          <w:b w:val="0"/>
          <w:i w:val="0"/>
          <w:color w:val="1F2A37"/>
          <w:sz w:val="22"/>
        </w:rPr>
        <w:t>These are stated openly — the platform is honest about what it cannot yet show.</w:t>
      </w:r>
    </w:p>
    <w:p>
      <w:pPr>
        <w:spacing w:after="80"/>
      </w:pPr>
      <w:r>
        <w:rPr>
          <w:b/>
          <w:i w:val="0"/>
          <w:color w:val="1F2A37"/>
          <w:sz w:val="22"/>
        </w:rPr>
        <w:t>Genuine data gaps (the source country does not publish the figure):</w:t>
      </w:r>
    </w:p>
    <w:p>
      <w:pPr>
        <w:pStyle w:val="ListBullet"/>
      </w:pPr>
      <w:r>
        <w:rPr>
          <w:b/>
        </w:rPr>
        <w:t>Brunei poverty:</w:t>
      </w:r>
      <w:r>
        <w:t xml:space="preserve"> a high-income economy that does not publish a comparable income-poverty rate.</w:t>
      </w:r>
    </w:p>
    <w:p>
      <w:pPr>
        <w:pStyle w:val="ListBullet"/>
      </w:pPr>
      <w:r>
        <w:rPr>
          <w:b/>
        </w:rPr>
        <w:t>Sabah electrification:</w:t>
      </w:r>
      <w:r>
        <w:t xml:space="preserve"> no statewide electrification percentage is published (only a 2030 target).</w:t>
      </w:r>
    </w:p>
    <w:p>
      <w:pPr>
        <w:spacing w:after="80"/>
      </w:pPr>
      <w:r>
        <w:rPr>
          <w:b/>
          <w:i w:val="0"/>
          <w:color w:val="1F2A37"/>
          <w:sz w:val="22"/>
        </w:rPr>
        <w:t>Definition / comparability caveats:</w:t>
      </w:r>
    </w:p>
    <w:p>
      <w:pPr>
        <w:pStyle w:val="ListBullet"/>
      </w:pPr>
      <w:r>
        <w:rPr>
          <w:b/>
        </w:rPr>
        <w:t>Tourism:</w:t>
      </w:r>
      <w:r>
        <w:t xml:space="preserve"> Sabah/Sarawak/Brunei report total visitor arrivals; Kalimantan reports domestic trips — comparable in scale, slightly different in definition.</w:t>
      </w:r>
    </w:p>
    <w:p>
      <w:pPr>
        <w:pStyle w:val="ListBullet"/>
      </w:pPr>
      <w:r>
        <w:rPr>
          <w:b/>
        </w:rPr>
        <w:t>Kalimantan fire:</w:t>
      </w:r>
      <w:r>
        <w:t xml:space="preserve"> four of five provinces are included; one province’s code in the satellite dataset could not be verified by name, so it is excluded rather than guessed.</w:t>
      </w:r>
    </w:p>
    <w:p>
      <w:pPr>
        <w:pStyle w:val="ListBullet"/>
      </w:pPr>
      <w:r>
        <w:rPr>
          <w:b/>
        </w:rPr>
        <w:t>Confidence:</w:t>
      </w:r>
      <w:r>
        <w:t xml:space="preserve"> Medium-confidence values are national figures applied to a territory or a 5-province average; Manual values come from official reports rather than a live API.</w:t>
      </w:r>
    </w:p>
    <w:p>
      <w:pPr>
        <w:spacing w:after="80"/>
      </w:pPr>
      <w:r>
        <w:rPr>
          <w:b/>
          <w:i w:val="0"/>
          <w:color w:val="1F2A37"/>
          <w:sz w:val="22"/>
        </w:rPr>
        <w:t>Deferred to a later phase (data not yet comparable across all four territories):</w:t>
      </w:r>
    </w:p>
    <w:p>
      <w:pPr>
        <w:pStyle w:val="ListBullet"/>
      </w:pPr>
      <w:r>
        <w:rPr>
          <w:b/>
        </w:rPr>
        <w:t>River water quality:</w:t>
      </w:r>
      <w:r>
        <w:t xml:space="preserve"> dropped — no comparable data; SDG6 is already covered by clean-water access.</w:t>
      </w:r>
    </w:p>
    <w:p>
      <w:pPr>
        <w:pStyle w:val="ListBullet"/>
      </w:pPr>
      <w:r>
        <w:rPr>
          <w:b/>
        </w:rPr>
        <w:t>Flood risk:</w:t>
      </w:r>
      <w:r>
        <w:t xml:space="preserve"> a real index exists only for Indonesia; Malaysia and Brunei have no equivalent.</w:t>
      </w:r>
    </w:p>
    <w:p>
      <w:pPr>
        <w:pStyle w:val="ListBullet"/>
      </w:pPr>
      <w:r>
        <w:rPr>
          <w:b/>
        </w:rPr>
        <w:t>Road length:</w:t>
      </w:r>
      <w:r>
        <w:t xml:space="preserve"> available but outdated (2016) and from mixed sources.</w:t>
      </w:r>
    </w:p>
    <w:p>
      <w:pPr>
        <w:pStyle w:val="ListBullet"/>
      </w:pPr>
      <w:r>
        <w:rPr>
          <w:b/>
        </w:rPr>
        <w:t>Food self-sufficiency:</w:t>
      </w:r>
      <w:r>
        <w:t xml:space="preserve"> published only at national level, not by territory.</w:t>
      </w:r>
    </w:p>
    <w:p>
      <w:pPr>
        <w:spacing w:after="80"/>
      </w:pPr>
      <w:r>
        <w:rPr>
          <w:b/>
          <w:i w:val="0"/>
          <w:color w:val="1F2A37"/>
          <w:sz w:val="22"/>
        </w:rPr>
        <w:t>Dashboard status:</w:t>
      </w:r>
    </w:p>
    <w:p>
      <w:pPr>
        <w:pStyle w:val="ListBullet"/>
      </w:pPr>
      <w:r>
        <w:rPr>
          <w:b/>
        </w:rPr>
        <w:t>Frontend:</w:t>
      </w:r>
      <w:r>
        <w:t xml:space="preserve"> the interface (map, scorecards, trend and radar charts) is built but still shows sample values; connecting it to the live database is the next task.</w:t>
      </w:r>
    </w:p>
    <w:p>
      <w:pPr>
        <w:pStyle w:val="ListBullet"/>
      </w:pPr>
      <w:r>
        <w:rPr>
          <w:b/>
        </w:rPr>
        <w:t>Trends:</w:t>
      </w:r>
      <w:r>
        <w:t xml:space="preserve"> the database currently stores the latest value per indicator; yearly history (for trend lines) is a planned enhancement.</w:t>
      </w:r>
    </w:p>
    <w:p>
      <w:pPr>
        <w:pStyle w:val="Heading1"/>
      </w:pPr>
      <w:r>
        <w:rPr>
          <w:color w:val="1B7F4B"/>
        </w:rPr>
        <w:t>3.  The Database Design</w:t>
      </w:r>
    </w:p>
    <w:p>
      <w:pPr>
        <w:spacing w:after="120"/>
      </w:pPr>
      <w:r>
        <w:rPr>
          <w:b w:val="0"/>
          <w:i w:val="0"/>
          <w:color w:val="1F2A37"/>
          <w:sz w:val="22"/>
        </w:rPr>
        <w:t>All data lives in one standardised table, "indicators", in tidy format — one row per measurement (a value for a territory and indicator). The frontend reads this single table; no joins are required.</w:t>
      </w:r>
    </w:p>
    <w:p>
      <w:pPr>
        <w:spacing w:after="80"/>
      </w:pPr>
      <w:r>
        <w:rPr>
          <w:b/>
          <w:i w:val="0"/>
          <w:color w:val="1F2A37"/>
          <w:sz w:val="22"/>
        </w:rPr>
        <w:t>Each row carries the value plus its full context: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Column group</w:t>
            </w:r>
          </w:p>
        </w:tc>
        <w:tc>
          <w:tcPr>
            <w:tcW w:type="dxa" w:w="3456"/>
          </w:tcPr>
          <w:p>
            <w:r/>
            <w:r>
              <w:rPr>
                <w:b/>
                <w:sz w:val="19"/>
              </w:rPr>
              <w:t>Columns</w:t>
            </w:r>
          </w:p>
        </w:tc>
        <w:tc>
          <w:tcPr>
            <w:tcW w:type="dxa" w:w="3744"/>
          </w:tcPr>
          <w:p>
            <w:r/>
            <w:r>
              <w:rPr>
                <w:b/>
                <w:sz w:val="19"/>
              </w:rPr>
              <w:t>Purpose</w:t>
            </w:r>
          </w:p>
        </w:tc>
      </w:tr>
      <w:tr>
        <w:tc>
          <w:tcPr>
            <w:tcW w:type="dxa" w:w="2160"/>
          </w:tcPr>
          <w:p>
            <w:r/>
            <w:r>
              <w:rPr>
                <w:sz w:val="19"/>
              </w:rPr>
              <w:t>Identity (key)</w:t>
            </w:r>
          </w:p>
        </w:tc>
        <w:tc>
          <w:tcPr>
            <w:tcW w:type="dxa" w:w="3456"/>
          </w:tcPr>
          <w:p>
            <w:r/>
            <w:r>
              <w:rPr>
                <w:sz w:val="19"/>
              </w:rPr>
              <w:t>territory, indicator</w:t>
            </w:r>
          </w:p>
        </w:tc>
        <w:tc>
          <w:tcPr>
            <w:tcW w:type="dxa" w:w="3744"/>
          </w:tcPr>
          <w:p>
            <w:r/>
            <w:r>
              <w:rPr>
                <w:sz w:val="19"/>
              </w:rPr>
              <w:t>Uniquely identifies a row</w:t>
            </w:r>
          </w:p>
        </w:tc>
      </w:tr>
      <w:tr>
        <w:tc>
          <w:tcPr>
            <w:tcW w:type="dxa" w:w="2160"/>
          </w:tcPr>
          <w:p>
            <w:r/>
            <w:r>
              <w:rPr>
                <w:sz w:val="19"/>
              </w:rPr>
              <w:t>Measurement</w:t>
            </w:r>
          </w:p>
        </w:tc>
        <w:tc>
          <w:tcPr>
            <w:tcW w:type="dxa" w:w="3456"/>
          </w:tcPr>
          <w:p>
            <w:r/>
            <w:r>
              <w:rPr>
                <w:sz w:val="19"/>
              </w:rPr>
              <w:t>year, value, unit</w:t>
            </w:r>
          </w:p>
        </w:tc>
        <w:tc>
          <w:tcPr>
            <w:tcW w:type="dxa" w:w="3744"/>
          </w:tcPr>
          <w:p>
            <w:r/>
            <w:r>
              <w:rPr>
                <w:sz w:val="19"/>
              </w:rPr>
              <w:t>The data point</w:t>
            </w:r>
          </w:p>
        </w:tc>
      </w:tr>
      <w:tr>
        <w:tc>
          <w:tcPr>
            <w:tcW w:type="dxa" w:w="2160"/>
          </w:tcPr>
          <w:p>
            <w:r/>
            <w:r>
              <w:rPr>
                <w:sz w:val="19"/>
              </w:rPr>
              <w:t>Provenance</w:t>
            </w:r>
          </w:p>
        </w:tc>
        <w:tc>
          <w:tcPr>
            <w:tcW w:type="dxa" w:w="3456"/>
          </w:tcPr>
          <w:p>
            <w:r/>
            <w:r>
              <w:rPr>
                <w:sz w:val="19"/>
              </w:rPr>
              <w:t>source, data_level</w:t>
            </w:r>
          </w:p>
        </w:tc>
        <w:tc>
          <w:tcPr>
            <w:tcW w:type="dxa" w:w="3744"/>
          </w:tcPr>
          <w:p>
            <w:r/>
            <w:r>
              <w:rPr>
                <w:sz w:val="19"/>
              </w:rPr>
              <w:t>Where it came from and at what level</w:t>
            </w:r>
          </w:p>
        </w:tc>
      </w:tr>
      <w:tr>
        <w:tc>
          <w:tcPr>
            <w:tcW w:type="dxa" w:w="2160"/>
          </w:tcPr>
          <w:p>
            <w:r/>
            <w:r>
              <w:rPr>
                <w:sz w:val="19"/>
              </w:rPr>
              <w:t>Classification</w:t>
            </w:r>
          </w:p>
        </w:tc>
        <w:tc>
          <w:tcPr>
            <w:tcW w:type="dxa" w:w="3456"/>
          </w:tcPr>
          <w:p>
            <w:r/>
            <w:r>
              <w:rPr>
                <w:sz w:val="19"/>
              </w:rPr>
              <w:t>esg_pillar, sdg_goal, hexagon_pillar</w:t>
            </w:r>
          </w:p>
        </w:tc>
        <w:tc>
          <w:tcPr>
            <w:tcW w:type="dxa" w:w="3744"/>
          </w:tcPr>
          <w:p>
            <w:r/>
            <w:r>
              <w:rPr>
                <w:sz w:val="19"/>
              </w:rPr>
              <w:t>Which framework view it feeds</w:t>
            </w:r>
          </w:p>
        </w:tc>
      </w:tr>
      <w:tr>
        <w:tc>
          <w:tcPr>
            <w:tcW w:type="dxa" w:w="2160"/>
          </w:tcPr>
          <w:p>
            <w:r/>
            <w:r>
              <w:rPr>
                <w:sz w:val="19"/>
              </w:rPr>
              <w:t>Trust / control</w:t>
            </w:r>
          </w:p>
        </w:tc>
        <w:tc>
          <w:tcPr>
            <w:tcW w:type="dxa" w:w="3456"/>
          </w:tcPr>
          <w:p>
            <w:r/>
            <w:r>
              <w:rPr>
                <w:sz w:val="19"/>
              </w:rPr>
              <w:t>confidence, last_updated, canonical</w:t>
            </w:r>
          </w:p>
        </w:tc>
        <w:tc>
          <w:tcPr>
            <w:tcW w:type="dxa" w:w="3744"/>
          </w:tcPr>
          <w:p>
            <w:r/>
            <w:r>
              <w:rPr>
                <w:sz w:val="19"/>
              </w:rPr>
              <w:t>Trust tag, freshness, unified-metric flag</w:t>
            </w:r>
          </w:p>
        </w:tc>
      </w:tr>
    </w:tbl>
    <w:p>
      <w:pPr>
        <w:spacing w:after="80"/>
      </w:pPr>
      <w:r>
        <w:rPr>
          <w:b/>
          <w:i w:val="0"/>
          <w:color w:val="1F2A37"/>
          <w:sz w:val="22"/>
        </w:rPr>
        <w:t>Design decisions:</w:t>
      </w:r>
    </w:p>
    <w:p>
      <w:pPr>
        <w:pStyle w:val="ListBullet"/>
      </w:pPr>
      <w:r>
        <w:rPr>
          <w:b/>
        </w:rPr>
        <w:t>Stable upsert:</w:t>
      </w:r>
      <w:r>
        <w:t xml:space="preserve"> the key is (territory + indicator). Re-running the pipeline updates the same row, so a source being offline never wipes its previous value ("keep-last-good").</w:t>
      </w:r>
    </w:p>
    <w:p>
      <w:pPr>
        <w:pStyle w:val="ListBullet"/>
      </w:pPr>
      <w:r>
        <w:rPr>
          <w:b/>
        </w:rPr>
        <w:t>Canonical flag:</w:t>
      </w:r>
      <w:r>
        <w:t xml:space="preserve"> marks the one unified metric per concept, so the dashboard can show a single consistent indicator per territory while extra metrics stay for reference.</w:t>
      </w:r>
    </w:p>
    <w:p>
      <w:pPr>
        <w:pStyle w:val="ListBullet"/>
      </w:pPr>
      <w:r>
        <w:rPr>
          <w:b/>
        </w:rPr>
        <w:t>Trust layer:</w:t>
      </w:r>
      <w:r>
        <w:t xml:space="preserve"> the confidence and data_level columns let the dashboard display every value together with how trustworthy it is.</w:t>
      </w:r>
    </w:p>
    <w:p>
      <w:pPr>
        <w:pStyle w:val="ListBullet"/>
      </w:pPr>
      <w:r>
        <w:rPr>
          <w:b/>
        </w:rPr>
        <w:t>Security:</w:t>
      </w:r>
      <w:r>
        <w:t xml:space="preserve"> keys are backend-only; the frontend reads an exported copy of this table, never the live source APIs.</w:t>
      </w:r>
    </w:p>
    <w:p>
      <w:pPr>
        <w:spacing w:after="120"/>
      </w:pPr>
      <w:r>
        <w:rPr>
          <w:b w:val="0"/>
          <w:i/>
          <w:color w:val="555F6B"/>
          <w:sz w:val="22"/>
        </w:rPr>
        <w:t>Planned change: adding the year to the key will let the table keep historical values, enabling trend-over-time charts in addition to the current snapshot.</w:t>
      </w:r>
    </w:p>
    <w:p>
      <w:pPr>
        <w:pStyle w:val="Heading1"/>
      </w:pPr>
      <w:r>
        <w:rPr>
          <w:color w:val="1B7F4B"/>
        </w:rPr>
        <w:t>4.  The Entire Progress</w:t>
      </w:r>
    </w:p>
    <w:p>
      <w:pPr>
        <w:spacing w:after="120"/>
      </w:pPr>
      <w:r>
        <w:rPr>
          <w:b w:val="0"/>
          <w:i w:val="0"/>
          <w:color w:val="1F2A37"/>
          <w:sz w:val="22"/>
        </w:rPr>
        <w:t>Where the whole project stands across its phases: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Phase</w:t>
            </w:r>
          </w:p>
        </w:tc>
        <w:tc>
          <w:tcPr>
            <w:tcW w:type="dxa" w:w="5184"/>
          </w:tcPr>
          <w:p>
            <w:r/>
            <w:r>
              <w:rPr>
                <w:b/>
                <w:sz w:val="19"/>
              </w:rPr>
              <w:t>Work</w:t>
            </w:r>
          </w:p>
        </w:tc>
        <w:tc>
          <w:tcPr>
            <w:tcW w:type="dxa" w:w="2160"/>
          </w:tcPr>
          <w:p>
            <w:r/>
            <w:r>
              <w:rPr>
                <w:b/>
                <w:sz w:val="19"/>
              </w:rPr>
              <w:t>Status</w:t>
            </w:r>
          </w:p>
        </w:tc>
      </w:tr>
      <w:tr>
        <w:tc>
          <w:tcPr>
            <w:tcW w:type="dxa" w:w="2016"/>
          </w:tcPr>
          <w:p>
            <w:r/>
            <w:r>
              <w:rPr>
                <w:sz w:val="19"/>
              </w:rPr>
              <w:t>1 – Setup</w:t>
            </w:r>
          </w:p>
        </w:tc>
        <w:tc>
          <w:tcPr>
            <w:tcW w:type="dxa" w:w="5184"/>
          </w:tcPr>
          <w:p>
            <w:r/>
            <w:r>
              <w:rPr>
                <w:sz w:val="19"/>
              </w:rPr>
              <w:t>Repository, React + Vite project, team plan</w:t>
            </w:r>
          </w:p>
        </w:tc>
        <w:tc>
          <w:tcPr>
            <w:tcW w:type="dxa" w:w="2160"/>
          </w:tcPr>
          <w:p>
            <w:r/>
            <w:r>
              <w:rPr>
                <w:sz w:val="19"/>
              </w:rPr>
              <w:t>Done</w:t>
            </w:r>
          </w:p>
        </w:tc>
      </w:tr>
      <w:tr>
        <w:tc>
          <w:tcPr>
            <w:tcW w:type="dxa" w:w="2016"/>
          </w:tcPr>
          <w:p>
            <w:r/>
            <w:r>
              <w:rPr>
                <w:sz w:val="19"/>
              </w:rPr>
              <w:t>2 – Sourcing</w:t>
            </w:r>
          </w:p>
        </w:tc>
        <w:tc>
          <w:tcPr>
            <w:tcW w:type="dxa" w:w="5184"/>
          </w:tcPr>
          <w:p>
            <w:r/>
            <w:r>
              <w:rPr>
                <w:sz w:val="19"/>
              </w:rPr>
              <w:t>Find &amp; verify real data sources per indicator</w:t>
            </w:r>
          </w:p>
        </w:tc>
        <w:tc>
          <w:tcPr>
            <w:tcW w:type="dxa" w:w="2160"/>
          </w:tcPr>
          <w:p>
            <w:r/>
            <w:r>
              <w:rPr>
                <w:sz w:val="19"/>
              </w:rPr>
              <w:t>Done</w:t>
            </w:r>
          </w:p>
        </w:tc>
      </w:tr>
      <w:tr>
        <w:tc>
          <w:tcPr>
            <w:tcW w:type="dxa" w:w="2016"/>
          </w:tcPr>
          <w:p>
            <w:r/>
            <w:r>
              <w:rPr>
                <w:sz w:val="19"/>
              </w:rPr>
              <w:t>3 – Data layer</w:t>
            </w:r>
          </w:p>
        </w:tc>
        <w:tc>
          <w:tcPr>
            <w:tcW w:type="dxa" w:w="5184"/>
          </w:tcPr>
          <w:p>
            <w:r/>
            <w:r>
              <w:rPr>
                <w:sz w:val="19"/>
              </w:rPr>
              <w:t>Pipeline, 8 sources, database, consistency, docs</w:t>
            </w:r>
          </w:p>
        </w:tc>
        <w:tc>
          <w:tcPr>
            <w:tcW w:type="dxa" w:w="2160"/>
          </w:tcPr>
          <w:p>
            <w:r/>
            <w:r>
              <w:rPr>
                <w:sz w:val="19"/>
              </w:rPr>
              <w:t>Substantially done</w:t>
            </w:r>
          </w:p>
        </w:tc>
      </w:tr>
      <w:tr>
        <w:tc>
          <w:tcPr>
            <w:tcW w:type="dxa" w:w="2016"/>
          </w:tcPr>
          <w:p>
            <w:r/>
            <w:r>
              <w:rPr>
                <w:sz w:val="19"/>
              </w:rPr>
              <w:t>4 – Resilience</w:t>
            </w:r>
          </w:p>
        </w:tc>
        <w:tc>
          <w:tcPr>
            <w:tcW w:type="dxa" w:w="5184"/>
          </w:tcPr>
          <w:p>
            <w:r/>
            <w:r>
              <w:rPr>
                <w:sz w:val="19"/>
              </w:rPr>
              <w:t>Compute 0–100 pillar scores + index (methodology ready)</w:t>
            </w:r>
          </w:p>
        </w:tc>
        <w:tc>
          <w:tcPr>
            <w:tcW w:type="dxa" w:w="2160"/>
          </w:tcPr>
          <w:p>
            <w:r/>
            <w:r>
              <w:rPr>
                <w:sz w:val="19"/>
              </w:rPr>
              <w:t>Next</w:t>
            </w:r>
          </w:p>
        </w:tc>
      </w:tr>
      <w:tr>
        <w:tc>
          <w:tcPr>
            <w:tcW w:type="dxa" w:w="2016"/>
          </w:tcPr>
          <w:p>
            <w:r/>
            <w:r>
              <w:rPr>
                <w:sz w:val="19"/>
              </w:rPr>
              <w:t>4 – Frontend</w:t>
            </w:r>
          </w:p>
        </w:tc>
        <w:tc>
          <w:tcPr>
            <w:tcW w:type="dxa" w:w="5184"/>
          </w:tcPr>
          <w:p>
            <w:r/>
            <w:r>
              <w:rPr>
                <w:sz w:val="19"/>
              </w:rPr>
              <w:t>Wire live data into map, scorecards, charts</w:t>
            </w:r>
          </w:p>
        </w:tc>
        <w:tc>
          <w:tcPr>
            <w:tcW w:type="dxa" w:w="2160"/>
          </w:tcPr>
          <w:p>
            <w:r/>
            <w:r>
              <w:rPr>
                <w:sz w:val="19"/>
              </w:rPr>
              <w:t>In progress</w:t>
            </w:r>
          </w:p>
        </w:tc>
      </w:tr>
      <w:tr>
        <w:tc>
          <w:tcPr>
            <w:tcW w:type="dxa" w:w="2016"/>
          </w:tcPr>
          <w:p>
            <w:r/>
            <w:r>
              <w:rPr>
                <w:sz w:val="19"/>
              </w:rPr>
              <w:t>Future</w:t>
            </w:r>
          </w:p>
        </w:tc>
        <w:tc>
          <w:tcPr>
            <w:tcW w:type="dxa" w:w="5184"/>
          </w:tcPr>
          <w:p>
            <w:r/>
            <w:r>
              <w:rPr>
                <w:sz w:val="19"/>
              </w:rPr>
              <w:t>Historical trends, AI insights, blockchain verification</w:t>
            </w:r>
          </w:p>
        </w:tc>
        <w:tc>
          <w:tcPr>
            <w:tcW w:type="dxa" w:w="2160"/>
          </w:tcPr>
          <w:p>
            <w:r/>
            <w:r>
              <w:rPr>
                <w:sz w:val="19"/>
              </w:rPr>
              <w:t>Planned</w:t>
            </w:r>
          </w:p>
        </w:tc>
      </w:tr>
    </w:tbl>
    <w:p>
      <w:pPr>
        <w:spacing w:after="80"/>
      </w:pPr>
      <w:r>
        <w:rPr>
          <w:b/>
          <w:i w:val="0"/>
          <w:color w:val="1F2A37"/>
          <w:sz w:val="22"/>
        </w:rPr>
        <w:t>Completed so far:</w:t>
      </w:r>
    </w:p>
    <w:p>
      <w:pPr>
        <w:pStyle w:val="ListBullet"/>
      </w:pPr>
      <w:r>
        <w:rPr>
          <w:b/>
        </w:rPr>
        <w:t>Data sourcing:</w:t>
      </w:r>
      <w:r>
        <w:t xml:space="preserve"> eight providers integrated, including bot-blocked and firewalled government APIs.</w:t>
      </w:r>
    </w:p>
    <w:p>
      <w:pPr>
        <w:pStyle w:val="ListBullet"/>
      </w:pPr>
      <w:r>
        <w:rPr>
          <w:b/>
        </w:rPr>
        <w:t>Pipeline:</w:t>
      </w:r>
      <w:r>
        <w:t xml:space="preserve"> automated, re-runnable, keep-last-good, with a cited manual layer for report figures.</w:t>
      </w:r>
    </w:p>
    <w:p>
      <w:pPr>
        <w:pStyle w:val="ListBullet"/>
      </w:pPr>
      <w:r>
        <w:rPr>
          <w:b/>
        </w:rPr>
        <w:t>Database:</w:t>
      </w:r>
      <w:r>
        <w:t xml:space="preserve"> one standardised database tagged for all three framework views.</w:t>
      </w:r>
    </w:p>
    <w:p>
      <w:pPr>
        <w:pStyle w:val="ListBullet"/>
      </w:pPr>
      <w:r>
        <w:rPr>
          <w:b/>
        </w:rPr>
        <w:t>Consistency:</w:t>
      </w:r>
      <w:r>
        <w:t xml:space="preserve"> four different statistics systems unified onto one comparable metric set.</w:t>
      </w:r>
    </w:p>
    <w:p>
      <w:pPr>
        <w:pStyle w:val="ListBullet"/>
      </w:pPr>
      <w:r>
        <w:rPr>
          <w:b/>
        </w:rPr>
        <w:t>Documentation:</w:t>
      </w:r>
      <w:r>
        <w:t xml:space="preserve"> progress report, data-source/key reference, and resilience methodology written.</w:t>
      </w:r>
    </w:p>
    <w:p>
      <w:pPr>
        <w:spacing w:after="80"/>
      </w:pPr>
      <w:r>
        <w:rPr>
          <w:b/>
          <w:i w:val="0"/>
          <w:color w:val="1F2A37"/>
          <w:sz w:val="22"/>
        </w:rPr>
        <w:t>Remaining:</w:t>
      </w:r>
    </w:p>
    <w:p>
      <w:pPr>
        <w:pStyle w:val="ListBullet"/>
      </w:pPr>
      <w:r>
        <w:t xml:space="preserve"> implement the Resilience Index calculation, connect the dashboard to the live database, and add historical trends.</w:t>
      </w:r>
    </w:p>
    <w:p/>
    <w:p>
      <w:pPr>
        <w:jc w:val="center"/>
      </w:pPr>
      <w:r>
        <w:rPr>
          <w:i/>
          <w:color w:val="1B7F4B"/>
          <w:sz w:val="23"/>
        </w:rPr>
        <w:t>A trustworthy data foundation for Borneo — real, cited, comparable, and honest about its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