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6F3D"/>
        </w:rPr>
        <w:t>Borneo Tracker — ESG &amp; SDG Data Sources by Territory</w:t>
      </w:r>
    </w:p>
    <w:p>
      <w:r>
        <w:rPr>
          <w:i/>
          <w:color w:val="707070"/>
          <w:sz w:val="20"/>
        </w:rPr>
        <w:t>Project T002  |  Reference table for proposal  |  Each cell links to that territory's source</w:t>
      </w:r>
    </w:p>
    <w:p>
      <w:pPr>
        <w:pStyle w:val="Heading1"/>
      </w:pPr>
      <w:r>
        <w:t>ESG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880"/>
            <w:shd w:val="clear" w:fill="1F6F3D"/>
          </w:tcPr>
          <w:p>
            <w:r>
              <w:rPr>
                <w:b/>
                <w:color w:val="FFFFFF"/>
                <w:sz w:val="20"/>
              </w:rPr>
              <w:t>ESG Indicator</w:t>
            </w:r>
          </w:p>
        </w:tc>
        <w:tc>
          <w:tcPr>
            <w:tcW w:type="dxa" w:w="2808"/>
            <w:shd w:val="clear" w:fill="1F6F3D"/>
          </w:tcPr>
          <w:p>
            <w:r>
              <w:rPr>
                <w:b/>
                <w:color w:val="FFFFFF"/>
                <w:sz w:val="20"/>
              </w:rPr>
              <w:t>Sabah</w:t>
            </w:r>
          </w:p>
        </w:tc>
        <w:tc>
          <w:tcPr>
            <w:tcW w:type="dxa" w:w="2808"/>
            <w:shd w:val="clear" w:fill="1F6F3D"/>
          </w:tcPr>
          <w:p>
            <w:r>
              <w:rPr>
                <w:b/>
                <w:color w:val="FFFFFF"/>
                <w:sz w:val="20"/>
              </w:rPr>
              <w:t>Sarawak</w:t>
            </w:r>
          </w:p>
        </w:tc>
        <w:tc>
          <w:tcPr>
            <w:tcW w:type="dxa" w:w="2808"/>
            <w:shd w:val="clear" w:fill="1F6F3D"/>
          </w:tcPr>
          <w:p>
            <w:r>
              <w:rPr>
                <w:b/>
                <w:color w:val="FFFFFF"/>
                <w:sz w:val="20"/>
              </w:rPr>
              <w:t>Brunei</w:t>
            </w:r>
          </w:p>
        </w:tc>
        <w:tc>
          <w:tcPr>
            <w:tcW w:type="dxa" w:w="2808"/>
            <w:shd w:val="clear" w:fill="1F6F3D"/>
          </w:tcPr>
          <w:p>
            <w:r>
              <w:rPr>
                <w:b/>
                <w:color w:val="FFFFFF"/>
                <w:sz w:val="20"/>
              </w:rPr>
              <w:t>Kalimantan</w:t>
            </w:r>
          </w:p>
          <w:p>
            <w:r>
              <w:rPr>
                <w:i/>
                <w:color w:val="E8F0E8"/>
                <w:sz w:val="14"/>
              </w:rPr>
              <w:t>(Barat · Tengah · Selatan · Timur · Utara — combined via BPS)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Forest Cover</w:t>
            </w:r>
          </w:p>
        </w:tc>
        <w:tc>
          <w:tcPr>
            <w:tcW w:type="dxa" w:w="2808"/>
          </w:tcPr>
          <w:p>
            <w:hyperlink r:id="rId9">
              <w:r>
                <w:rPr>
                  <w:color w:val="0563C1"/>
                  <w:u w:val="single"/>
                  <w:sz w:val="18"/>
                </w:rPr>
                <w:t>GFW – Malaysia</w:t>
              </w:r>
            </w:hyperlink>
          </w:p>
        </w:tc>
        <w:tc>
          <w:tcPr>
            <w:tcW w:type="dxa" w:w="2808"/>
          </w:tcPr>
          <w:p>
            <w:hyperlink r:id="rId9">
              <w:r>
                <w:rPr>
                  <w:color w:val="0563C1"/>
                  <w:u w:val="single"/>
                  <w:sz w:val="18"/>
                </w:rPr>
                <w:t>GFW – Malaysia</w:t>
              </w:r>
            </w:hyperlink>
          </w:p>
        </w:tc>
        <w:tc>
          <w:tcPr>
            <w:tcW w:type="dxa" w:w="2808"/>
          </w:tcPr>
          <w:p>
            <w:hyperlink r:id="rId10">
              <w:r>
                <w:rPr>
                  <w:color w:val="0563C1"/>
                  <w:u w:val="single"/>
                  <w:sz w:val="18"/>
                </w:rPr>
                <w:t>GFW – Brunei</w:t>
              </w:r>
            </w:hyperlink>
          </w:p>
        </w:tc>
        <w:tc>
          <w:tcPr>
            <w:tcW w:type="dxa" w:w="2808"/>
          </w:tcPr>
          <w:p>
            <w:hyperlink r:id="rId11">
              <w:r>
                <w:rPr>
                  <w:color w:val="0563C1"/>
                  <w:u w:val="single"/>
                  <w:sz w:val="18"/>
                </w:rPr>
                <w:t>GFW – Indonesia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Deforestation / Tree Cover Loss</w:t>
            </w:r>
          </w:p>
        </w:tc>
        <w:tc>
          <w:tcPr>
            <w:tcW w:type="dxa" w:w="2808"/>
          </w:tcPr>
          <w:p>
            <w:hyperlink r:id="rId9">
              <w:r>
                <w:rPr>
                  <w:color w:val="0563C1"/>
                  <w:u w:val="single"/>
                  <w:sz w:val="18"/>
                </w:rPr>
                <w:t>GFW – Malaysia</w:t>
              </w:r>
            </w:hyperlink>
          </w:p>
        </w:tc>
        <w:tc>
          <w:tcPr>
            <w:tcW w:type="dxa" w:w="2808"/>
          </w:tcPr>
          <w:p>
            <w:hyperlink r:id="rId9">
              <w:r>
                <w:rPr>
                  <w:color w:val="0563C1"/>
                  <w:u w:val="single"/>
                  <w:sz w:val="18"/>
                </w:rPr>
                <w:t>GFW – Malaysia</w:t>
              </w:r>
            </w:hyperlink>
          </w:p>
        </w:tc>
        <w:tc>
          <w:tcPr>
            <w:tcW w:type="dxa" w:w="2808"/>
          </w:tcPr>
          <w:p>
            <w:hyperlink r:id="rId10">
              <w:r>
                <w:rPr>
                  <w:color w:val="0563C1"/>
                  <w:u w:val="single"/>
                  <w:sz w:val="18"/>
                </w:rPr>
                <w:t>GFW – Brunei</w:t>
              </w:r>
            </w:hyperlink>
          </w:p>
        </w:tc>
        <w:tc>
          <w:tcPr>
            <w:tcW w:type="dxa" w:w="2808"/>
          </w:tcPr>
          <w:p>
            <w:hyperlink r:id="rId11">
              <w:r>
                <w:rPr>
                  <w:color w:val="0563C1"/>
                  <w:u w:val="single"/>
                  <w:sz w:val="18"/>
                </w:rPr>
                <w:t>GFW – Indonesia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Active Fire Hotspots</w:t>
            </w:r>
          </w:p>
        </w:tc>
        <w:tc>
          <w:tcPr>
            <w:tcW w:type="dxa" w:w="2808"/>
            <w:gridSpan w:val="4"/>
          </w:tcPr>
          <w:p>
            <w:hyperlink r:id="rId12">
              <w:r>
                <w:rPr>
                  <w:color w:val="0563C1"/>
                  <w:u w:val="single"/>
                  <w:sz w:val="18"/>
                </w:rPr>
                <w:t>NASA FIRMS  —  all 4 territories (Borneo bounding box, VIIRS satellite)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Air Quality (PM2.5)</w:t>
            </w:r>
          </w:p>
        </w:tc>
        <w:tc>
          <w:tcPr>
            <w:tcW w:type="dxa" w:w="2808"/>
          </w:tcPr>
          <w:p>
            <w:hyperlink r:id="rId13">
              <w:r>
                <w:rPr>
                  <w:color w:val="0563C1"/>
                  <w:u w:val="single"/>
                  <w:sz w:val="18"/>
                </w:rPr>
                <w:t>aqicn – Kota Kinabalu</w:t>
              </w:r>
            </w:hyperlink>
          </w:p>
        </w:tc>
        <w:tc>
          <w:tcPr>
            <w:tcW w:type="dxa" w:w="2808"/>
          </w:tcPr>
          <w:p>
            <w:hyperlink r:id="rId14">
              <w:r>
                <w:rPr>
                  <w:color w:val="0563C1"/>
                  <w:u w:val="single"/>
                  <w:sz w:val="18"/>
                </w:rPr>
                <w:t>aqicn – Kuching</w:t>
              </w:r>
            </w:hyperlink>
          </w:p>
        </w:tc>
        <w:tc>
          <w:tcPr>
            <w:tcW w:type="dxa" w:w="2808"/>
          </w:tcPr>
          <w:p>
            <w:hyperlink r:id="rId15">
              <w:r>
                <w:rPr>
                  <w:color w:val="0563C1"/>
                  <w:u w:val="single"/>
                  <w:sz w:val="18"/>
                </w:rPr>
                <w:t>aqicn – Brunei</w:t>
              </w:r>
            </w:hyperlink>
          </w:p>
        </w:tc>
        <w:tc>
          <w:tcPr>
            <w:tcW w:type="dxa" w:w="2808"/>
          </w:tcPr>
          <w:p>
            <w:hyperlink r:id="rId16">
              <w:r>
                <w:rPr>
                  <w:color w:val="0563C1"/>
                  <w:u w:val="single"/>
                  <w:sz w:val="18"/>
                </w:rPr>
                <w:t>aqicn – Pontianak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Water Quality (River WQI)  ⚠ limited</w:t>
            </w:r>
          </w:p>
        </w:tc>
        <w:tc>
          <w:tcPr>
            <w:tcW w:type="dxa" w:w="2808"/>
          </w:tcPr>
          <w:p>
            <w:hyperlink r:id="rId17">
              <w:r>
                <w:rPr>
                  <w:color w:val="0563C1"/>
                  <w:u w:val="single"/>
                  <w:sz w:val="18"/>
                </w:rPr>
                <w:t>DOE Malaysia (PDF)</w:t>
              </w:r>
            </w:hyperlink>
          </w:p>
        </w:tc>
        <w:tc>
          <w:tcPr>
            <w:tcW w:type="dxa" w:w="2808"/>
          </w:tcPr>
          <w:p>
            <w:hyperlink r:id="rId17">
              <w:r>
                <w:rPr>
                  <w:color w:val="0563C1"/>
                  <w:u w:val="single"/>
                  <w:sz w:val="18"/>
                </w:rPr>
                <w:t>DOE Malaysia (PDF)</w:t>
              </w:r>
            </w:hyperlink>
          </w:p>
        </w:tc>
        <w:tc>
          <w:tcPr>
            <w:tcW w:type="dxa" w:w="2808"/>
          </w:tcPr>
          <w:p>
            <w:r>
              <w:rPr>
                <w:i/>
                <w:color w:val="B00000"/>
                <w:sz w:val="18"/>
              </w:rPr>
              <w:t>No open dataset</w:t>
            </w:r>
          </w:p>
        </w:tc>
        <w:tc>
          <w:tcPr>
            <w:tcW w:type="dxa" w:w="2808"/>
          </w:tcPr>
          <w:p>
            <w:hyperlink r:id="rId18">
              <w:r>
                <w:rPr>
                  <w:color w:val="0563C1"/>
                  <w:u w:val="single"/>
                  <w:sz w:val="18"/>
                </w:rPr>
                <w:t>KLHK IKLH (PDF)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Poverty Rate</w:t>
            </w:r>
          </w:p>
        </w:tc>
        <w:tc>
          <w:tcPr>
            <w:tcW w:type="dxa" w:w="2808"/>
          </w:tcPr>
          <w:p>
            <w:hyperlink r:id="rId19">
              <w:r>
                <w:rPr>
                  <w:color w:val="0563C1"/>
                  <w:u w:val="single"/>
                  <w:sz w:val="18"/>
                </w:rPr>
                <w:t>OpenDOSM</w:t>
              </w:r>
            </w:hyperlink>
          </w:p>
        </w:tc>
        <w:tc>
          <w:tcPr>
            <w:tcW w:type="dxa" w:w="2808"/>
          </w:tcPr>
          <w:p>
            <w:hyperlink r:id="rId19">
              <w:r>
                <w:rPr>
                  <w:color w:val="0563C1"/>
                  <w:u w:val="single"/>
                  <w:sz w:val="18"/>
                </w:rPr>
                <w:t>OpenDOSM</w:t>
              </w:r>
            </w:hyperlink>
          </w:p>
        </w:tc>
        <w:tc>
          <w:tcPr>
            <w:tcW w:type="dxa" w:w="2808"/>
          </w:tcPr>
          <w:p>
            <w:hyperlink r:id="rId20">
              <w:r>
                <w:rPr>
                  <w:color w:val="0563C1"/>
                  <w:u w:val="single"/>
                  <w:sz w:val="18"/>
                </w:rPr>
                <w:t>World Bank (proxy)</w:t>
              </w:r>
            </w:hyperlink>
          </w:p>
        </w:tc>
        <w:tc>
          <w:tcPr>
            <w:tcW w:type="dxa" w:w="2808"/>
          </w:tcPr>
          <w:p>
            <w:hyperlink r:id="rId21">
              <w:r>
                <w:rPr>
                  <w:color w:val="0563C1"/>
                  <w:u w:val="single"/>
                  <w:sz w:val="18"/>
                </w:rPr>
                <w:t>BPS Indonesia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Employment / Unemployment</w:t>
            </w:r>
          </w:p>
        </w:tc>
        <w:tc>
          <w:tcPr>
            <w:tcW w:type="dxa" w:w="2808"/>
          </w:tcPr>
          <w:p>
            <w:hyperlink r:id="rId22">
              <w:r>
                <w:rPr>
                  <w:color w:val="0563C1"/>
                  <w:u w:val="single"/>
                  <w:sz w:val="18"/>
                </w:rPr>
                <w:t>OpenDOSM</w:t>
              </w:r>
            </w:hyperlink>
          </w:p>
        </w:tc>
        <w:tc>
          <w:tcPr>
            <w:tcW w:type="dxa" w:w="2808"/>
          </w:tcPr>
          <w:p>
            <w:hyperlink r:id="rId22">
              <w:r>
                <w:rPr>
                  <w:color w:val="0563C1"/>
                  <w:u w:val="single"/>
                  <w:sz w:val="18"/>
                </w:rPr>
                <w:t>OpenDOSM</w:t>
              </w:r>
            </w:hyperlink>
          </w:p>
        </w:tc>
        <w:tc>
          <w:tcPr>
            <w:tcW w:type="dxa" w:w="2808"/>
          </w:tcPr>
          <w:p>
            <w:hyperlink r:id="rId23">
              <w:r>
                <w:rPr>
                  <w:color w:val="0563C1"/>
                  <w:u w:val="single"/>
                  <w:sz w:val="18"/>
                </w:rPr>
                <w:t>World Bank API</w:t>
              </w:r>
            </w:hyperlink>
          </w:p>
        </w:tc>
        <w:tc>
          <w:tcPr>
            <w:tcW w:type="dxa" w:w="2808"/>
          </w:tcPr>
          <w:p>
            <w:hyperlink r:id="rId24">
              <w:r>
                <w:rPr>
                  <w:color w:val="0563C1"/>
                  <w:u w:val="single"/>
                  <w:sz w:val="18"/>
                </w:rPr>
                <w:t>BPS Indonesia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Education</w:t>
            </w:r>
          </w:p>
        </w:tc>
        <w:tc>
          <w:tcPr>
            <w:tcW w:type="dxa" w:w="2808"/>
          </w:tcPr>
          <w:p>
            <w:hyperlink r:id="rId25">
              <w:r>
                <w:rPr>
                  <w:color w:val="0563C1"/>
                  <w:u w:val="single"/>
                  <w:sz w:val="18"/>
                </w:rPr>
                <w:t>OpenDOSM</w:t>
              </w:r>
            </w:hyperlink>
          </w:p>
        </w:tc>
        <w:tc>
          <w:tcPr>
            <w:tcW w:type="dxa" w:w="2808"/>
          </w:tcPr>
          <w:p>
            <w:hyperlink r:id="rId25">
              <w:r>
                <w:rPr>
                  <w:color w:val="0563C1"/>
                  <w:u w:val="single"/>
                  <w:sz w:val="18"/>
                </w:rPr>
                <w:t>OpenDOSM</w:t>
              </w:r>
            </w:hyperlink>
          </w:p>
        </w:tc>
        <w:tc>
          <w:tcPr>
            <w:tcW w:type="dxa" w:w="2808"/>
          </w:tcPr>
          <w:p>
            <w:hyperlink r:id="rId26">
              <w:r>
                <w:rPr>
                  <w:color w:val="0563C1"/>
                  <w:u w:val="single"/>
                  <w:sz w:val="18"/>
                </w:rPr>
                <w:t>Brunei DEPS</w:t>
              </w:r>
            </w:hyperlink>
          </w:p>
        </w:tc>
        <w:tc>
          <w:tcPr>
            <w:tcW w:type="dxa" w:w="2808"/>
          </w:tcPr>
          <w:p>
            <w:hyperlink r:id="rId24">
              <w:r>
                <w:rPr>
                  <w:color w:val="0563C1"/>
                  <w:u w:val="single"/>
                  <w:sz w:val="18"/>
                </w:rPr>
                <w:t>BPS Indonesia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Healthcare</w:t>
            </w:r>
          </w:p>
        </w:tc>
        <w:tc>
          <w:tcPr>
            <w:tcW w:type="dxa" w:w="2808"/>
          </w:tcPr>
          <w:p>
            <w:hyperlink r:id="rId27">
              <w:r>
                <w:rPr>
                  <w:color w:val="0563C1"/>
                  <w:u w:val="single"/>
                  <w:sz w:val="18"/>
                </w:rPr>
                <w:t>OpenDOSM (beds)</w:t>
              </w:r>
            </w:hyperlink>
          </w:p>
        </w:tc>
        <w:tc>
          <w:tcPr>
            <w:tcW w:type="dxa" w:w="2808"/>
          </w:tcPr>
          <w:p>
            <w:hyperlink r:id="rId27">
              <w:r>
                <w:rPr>
                  <w:color w:val="0563C1"/>
                  <w:u w:val="single"/>
                  <w:sz w:val="18"/>
                </w:rPr>
                <w:t>OpenDOSM (beds)</w:t>
              </w:r>
            </w:hyperlink>
          </w:p>
        </w:tc>
        <w:tc>
          <w:tcPr>
            <w:tcW w:type="dxa" w:w="2808"/>
          </w:tcPr>
          <w:p>
            <w:hyperlink r:id="rId28">
              <w:r>
                <w:rPr>
                  <w:color w:val="0563C1"/>
                  <w:u w:val="single"/>
                  <w:sz w:val="18"/>
                </w:rPr>
                <w:t>World Bank API</w:t>
              </w:r>
            </w:hyperlink>
          </w:p>
        </w:tc>
        <w:tc>
          <w:tcPr>
            <w:tcW w:type="dxa" w:w="2808"/>
          </w:tcPr>
          <w:p>
            <w:hyperlink r:id="rId24">
              <w:r>
                <w:rPr>
                  <w:color w:val="0563C1"/>
                  <w:u w:val="single"/>
                  <w:sz w:val="18"/>
                </w:rPr>
                <w:t>BPS Indonesia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Clean Water Access</w:t>
            </w:r>
          </w:p>
        </w:tc>
        <w:tc>
          <w:tcPr>
            <w:tcW w:type="dxa" w:w="2808"/>
          </w:tcPr>
          <w:p>
            <w:hyperlink r:id="rId29">
              <w:r>
                <w:rPr>
                  <w:color w:val="0563C1"/>
                  <w:u w:val="single"/>
                  <w:sz w:val="18"/>
                </w:rPr>
                <w:t>OpenDOSM</w:t>
              </w:r>
            </w:hyperlink>
          </w:p>
        </w:tc>
        <w:tc>
          <w:tcPr>
            <w:tcW w:type="dxa" w:w="2808"/>
          </w:tcPr>
          <w:p>
            <w:hyperlink r:id="rId29">
              <w:r>
                <w:rPr>
                  <w:color w:val="0563C1"/>
                  <w:u w:val="single"/>
                  <w:sz w:val="18"/>
                </w:rPr>
                <w:t>OpenDOSM</w:t>
              </w:r>
            </w:hyperlink>
          </w:p>
        </w:tc>
        <w:tc>
          <w:tcPr>
            <w:tcW w:type="dxa" w:w="2808"/>
          </w:tcPr>
          <w:p>
            <w:hyperlink r:id="rId30">
              <w:r>
                <w:rPr>
                  <w:color w:val="0563C1"/>
                  <w:u w:val="single"/>
                  <w:sz w:val="18"/>
                </w:rPr>
                <w:t>World Bank API</w:t>
              </w:r>
            </w:hyperlink>
          </w:p>
        </w:tc>
        <w:tc>
          <w:tcPr>
            <w:tcW w:type="dxa" w:w="2808"/>
          </w:tcPr>
          <w:p>
            <w:hyperlink r:id="rId24">
              <w:r>
                <w:rPr>
                  <w:color w:val="0563C1"/>
                  <w:u w:val="single"/>
                  <w:sz w:val="18"/>
                </w:rPr>
                <w:t>BPS Indonesia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Governance / Transparency</w:t>
            </w:r>
          </w:p>
          <w:p>
            <w:r>
              <w:rPr>
                <w:i/>
                <w:color w:val="808080"/>
                <w:sz w:val="14"/>
              </w:rPr>
              <w:t>Country-level only — no sub-national score exists</w:t>
            </w:r>
          </w:p>
        </w:tc>
        <w:tc>
          <w:tcPr>
            <w:tcW w:type="dxa" w:w="2808"/>
          </w:tcPr>
          <w:p>
            <w:hyperlink r:id="rId31">
              <w:r>
                <w:rPr>
                  <w:color w:val="0563C1"/>
                  <w:u w:val="single"/>
                  <w:sz w:val="18"/>
                </w:rPr>
                <w:t>TI CPI / WB WGI (Malaysia)</w:t>
              </w:r>
            </w:hyperlink>
          </w:p>
        </w:tc>
        <w:tc>
          <w:tcPr>
            <w:tcW w:type="dxa" w:w="2808"/>
          </w:tcPr>
          <w:p>
            <w:hyperlink r:id="rId31">
              <w:r>
                <w:rPr>
                  <w:color w:val="0563C1"/>
                  <w:u w:val="single"/>
                  <w:sz w:val="18"/>
                </w:rPr>
                <w:t>TI CPI / WB WGI (Malaysia)</w:t>
              </w:r>
            </w:hyperlink>
          </w:p>
        </w:tc>
        <w:tc>
          <w:tcPr>
            <w:tcW w:type="dxa" w:w="2808"/>
          </w:tcPr>
          <w:p>
            <w:hyperlink r:id="rId32">
              <w:r>
                <w:rPr>
                  <w:color w:val="0563C1"/>
                  <w:u w:val="single"/>
                  <w:sz w:val="18"/>
                </w:rPr>
                <w:t>TI CPI / WB WGI (Brunei)</w:t>
              </w:r>
            </w:hyperlink>
          </w:p>
        </w:tc>
        <w:tc>
          <w:tcPr>
            <w:tcW w:type="dxa" w:w="2808"/>
          </w:tcPr>
          <w:p>
            <w:hyperlink r:id="rId31">
              <w:r>
                <w:rPr>
                  <w:color w:val="0563C1"/>
                  <w:u w:val="single"/>
                  <w:sz w:val="18"/>
                </w:rPr>
                <w:t>TI CPI / WB WGI (Indonesia)</w:t>
              </w:r>
            </w:hyperlink>
          </w:p>
        </w:tc>
      </w:tr>
    </w:tbl>
    <w:p>
      <w:r>
        <w:rPr>
          <w:b/>
          <w:color w:val="B00000"/>
          <w:sz w:val="18"/>
        </w:rPr>
        <w:t xml:space="preserve">Note on data gap:  </w:t>
      </w:r>
      <w:r>
        <w:rPr>
          <w:i/>
          <w:sz w:val="18"/>
        </w:rPr>
        <w:t>River water quality (WQI) is the only indicator without clean island-wide open data — Malaysia &amp; Kalimantan publish it in PDF reports only, and Brunei has no public dataset. Recommended handling: use Clean Water Access as the primary SDG 6 measure, with river water quality shown as a secondary “limited data” indicator.</w:t>
      </w:r>
    </w:p>
    <w:p>
      <w:pPr>
        <w:pStyle w:val="Heading1"/>
      </w:pPr>
      <w:r>
        <w:t>SDG Progress — Indicator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608"/>
            <w:shd w:val="clear" w:fill="1F6F3D"/>
          </w:tcPr>
          <w:p>
            <w:r>
              <w:rPr>
                <w:b/>
                <w:color w:val="FFFFFF"/>
              </w:rPr>
              <w:t>SDG Goal</w:t>
            </w:r>
          </w:p>
        </w:tc>
        <w:tc>
          <w:tcPr>
            <w:tcW w:type="dxa" w:w="7200"/>
            <w:shd w:val="clear" w:fill="1F6F3D"/>
          </w:tcPr>
          <w:p>
            <w:r>
              <w:rPr>
                <w:b/>
                <w:color w:val="FFFFFF"/>
              </w:rPr>
              <w:t>Fed by ESG Indicator(s)</w:t>
            </w:r>
          </w:p>
        </w:tc>
      </w:tr>
      <w:tr>
        <w:tc>
          <w:tcPr>
            <w:tcW w:type="dxa" w:w="4608"/>
          </w:tcPr>
          <w:p>
            <w:r>
              <w:rPr>
                <w:b/>
                <w:sz w:val="18"/>
              </w:rPr>
              <w:t>SDG 1 — No Poverty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Poverty Rate</w:t>
            </w:r>
          </w:p>
        </w:tc>
      </w:tr>
      <w:tr>
        <w:tc>
          <w:tcPr>
            <w:tcW w:type="dxa" w:w="4608"/>
          </w:tcPr>
          <w:p>
            <w:r>
              <w:rPr>
                <w:b/>
                <w:sz w:val="18"/>
              </w:rPr>
              <w:t>SDG 4 — Quality Education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Education</w:t>
            </w:r>
          </w:p>
        </w:tc>
      </w:tr>
      <w:tr>
        <w:tc>
          <w:tcPr>
            <w:tcW w:type="dxa" w:w="4608"/>
          </w:tcPr>
          <w:p>
            <w:r>
              <w:rPr>
                <w:b/>
                <w:sz w:val="18"/>
              </w:rPr>
              <w:t>SDG 6 — Clean Water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Clean Water Access (primary) + Water Quality</w:t>
            </w:r>
          </w:p>
        </w:tc>
      </w:tr>
      <w:tr>
        <w:tc>
          <w:tcPr>
            <w:tcW w:type="dxa" w:w="4608"/>
          </w:tcPr>
          <w:p>
            <w:r>
              <w:rPr>
                <w:b/>
                <w:sz w:val="18"/>
              </w:rPr>
              <w:t>SDG 8 — Decent Work &amp; Economic Growth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Employment + GDP</w:t>
            </w:r>
          </w:p>
        </w:tc>
      </w:tr>
      <w:tr>
        <w:tc>
          <w:tcPr>
            <w:tcW w:type="dxa" w:w="4608"/>
          </w:tcPr>
          <w:p>
            <w:r>
              <w:rPr>
                <w:b/>
                <w:sz w:val="18"/>
              </w:rPr>
              <w:t>SDG 13 — Climate Action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Fire Hotspots + Air Quality</w:t>
            </w:r>
          </w:p>
        </w:tc>
      </w:tr>
      <w:tr>
        <w:tc>
          <w:tcPr>
            <w:tcW w:type="dxa" w:w="4608"/>
          </w:tcPr>
          <w:p>
            <w:r>
              <w:rPr>
                <w:b/>
                <w:sz w:val="18"/>
              </w:rPr>
              <w:t>SDG 15 — Life on Land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Forest Cover + Deforestation</w:t>
            </w:r>
          </w:p>
        </w:tc>
      </w:tr>
    </w:tbl>
    <w:p>
      <w:pPr>
        <w:pStyle w:val="Heading2"/>
      </w:pPr>
      <w:r>
        <w:t>Official SDG Platforms by Territory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168"/>
            <w:shd w:val="clear" w:fill="1F6F3D"/>
          </w:tcPr>
          <w:p>
            <w:r>
              <w:rPr>
                <w:b/>
                <w:color w:val="FFFFFF"/>
              </w:rPr>
              <w:t>Territory</w:t>
            </w:r>
          </w:p>
        </w:tc>
        <w:tc>
          <w:tcPr>
            <w:tcW w:type="dxa" w:w="8640"/>
            <w:shd w:val="clear" w:fill="1F6F3D"/>
          </w:tcPr>
          <w:p>
            <w:r>
              <w:rPr>
                <w:b/>
                <w:color w:val="FFFFFF"/>
              </w:rPr>
              <w:t>Official SDG Platform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Sabah / Sarawak</w:t>
            </w:r>
          </w:p>
        </w:tc>
        <w:tc>
          <w:tcPr>
            <w:tcW w:type="dxa" w:w="8640"/>
          </w:tcPr>
          <w:p>
            <w:hyperlink r:id="rId33">
              <w:r>
                <w:rPr>
                  <w:color w:val="0563C1"/>
                  <w:u w:val="single"/>
                  <w:sz w:val="18"/>
                </w:rPr>
                <w:t>DOSM SDG Indicators by State 2024 (by state)</w:t>
              </w:r>
            </w:hyperlink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Brunei</w:t>
            </w:r>
          </w:p>
        </w:tc>
        <w:tc>
          <w:tcPr>
            <w:tcW w:type="dxa" w:w="8640"/>
          </w:tcPr>
          <w:p>
            <w:hyperlink r:id="rId34">
              <w:r>
                <w:rPr>
                  <w:color w:val="0563C1"/>
                  <w:u w:val="single"/>
                  <w:sz w:val="18"/>
                </w:rPr>
                <w:t>SDG Brunei / VNR 2023 (national)</w:t>
              </w:r>
            </w:hyperlink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Kalimantan</w:t>
            </w:r>
          </w:p>
        </w:tc>
        <w:tc>
          <w:tcPr>
            <w:tcW w:type="dxa" w:w="8640"/>
          </w:tcPr>
          <w:p>
            <w:hyperlink r:id="rId35">
              <w:r>
                <w:rPr>
                  <w:color w:val="0563C1"/>
                  <w:u w:val="single"/>
                  <w:sz w:val="18"/>
                </w:rPr>
                <w:t>Bappenas SDGs Dashboard (by province)</w:t>
              </w:r>
            </w:hyperlink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All territories</w:t>
            </w:r>
          </w:p>
        </w:tc>
        <w:tc>
          <w:tcPr>
            <w:tcW w:type="dxa" w:w="8640"/>
          </w:tcPr>
          <w:p>
            <w:hyperlink r:id="rId36">
              <w:r>
                <w:rPr>
                  <w:color w:val="0563C1"/>
                  <w:u w:val="single"/>
                  <w:sz w:val="18"/>
                </w:rPr>
                <w:t>UN SDG Global API (country baseline)</w:t>
              </w:r>
            </w:hyperlink>
          </w:p>
        </w:tc>
      </w:tr>
    </w:tbl>
    <w:p/>
    <w:p>
      <w:r>
        <w:rPr>
          <w:i/>
          <w:color w:val="808080"/>
          <w:sz w:val="16"/>
        </w:rPr>
        <w:t>All sources are free and publicly available. Kalimantan figures combine the 5 provinces (Barat, Tengah, Selatan, Timur, Utara) via BPS Indonesia. Verified 21 June 2026.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lobalforestwatch.org/dashboards/country/MYS/" TargetMode="External"/><Relationship Id="rId10" Type="http://schemas.openxmlformats.org/officeDocument/2006/relationships/hyperlink" Target="https://www.globalforestwatch.org/dashboards/country/BRN/" TargetMode="External"/><Relationship Id="rId11" Type="http://schemas.openxmlformats.org/officeDocument/2006/relationships/hyperlink" Target="https://www.globalforestwatch.org/dashboards/country/IDN/" TargetMode="External"/><Relationship Id="rId12" Type="http://schemas.openxmlformats.org/officeDocument/2006/relationships/hyperlink" Target="https://firms.modaps.eosdis.nasa.gov/" TargetMode="External"/><Relationship Id="rId13" Type="http://schemas.openxmlformats.org/officeDocument/2006/relationships/hyperlink" Target="https://aqicn.org/city/malaysia/sabah/kota-kinabalu/" TargetMode="External"/><Relationship Id="rId14" Type="http://schemas.openxmlformats.org/officeDocument/2006/relationships/hyperlink" Target="https://aqicn.org/city/malaysia/sarawak/kuching/" TargetMode="External"/><Relationship Id="rId15" Type="http://schemas.openxmlformats.org/officeDocument/2006/relationships/hyperlink" Target="https://aqicn.org/city/brunei/" TargetMode="External"/><Relationship Id="rId16" Type="http://schemas.openxmlformats.org/officeDocument/2006/relationships/hyperlink" Target="https://aqicn.org/city/indonesia/pontianak/" TargetMode="External"/><Relationship Id="rId17" Type="http://schemas.openxmlformats.org/officeDocument/2006/relationships/hyperlink" Target="https://eqms.doe.gov.my/APIMS/main" TargetMode="External"/><Relationship Id="rId18" Type="http://schemas.openxmlformats.org/officeDocument/2006/relationships/hyperlink" Target="https://ppkl.menlhk.go.id/" TargetMode="External"/><Relationship Id="rId19" Type="http://schemas.openxmlformats.org/officeDocument/2006/relationships/hyperlink" Target="https://open.dosm.gov.my/data-catalogue/hh_poverty_state" TargetMode="External"/><Relationship Id="rId20" Type="http://schemas.openxmlformats.org/officeDocument/2006/relationships/hyperlink" Target="https://data.worldbank.org/country/brunei-darussalam" TargetMode="External"/><Relationship Id="rId21" Type="http://schemas.openxmlformats.org/officeDocument/2006/relationships/hyperlink" Target="https://www.bps.go.id/en/statistics-table/2/NjIxIzI=/persentase-penduduk-miskin-menurut-kabupaten-kota.html" TargetMode="External"/><Relationship Id="rId22" Type="http://schemas.openxmlformats.org/officeDocument/2006/relationships/hyperlink" Target="https://open.dosm.gov.my/data-catalogue/lfs_qtr_state" TargetMode="External"/><Relationship Id="rId23" Type="http://schemas.openxmlformats.org/officeDocument/2006/relationships/hyperlink" Target="https://api.worldbank.org/v2/country/brn/indicator/SL.UEM.TOTL.ZS?format=json" TargetMode="External"/><Relationship Id="rId24" Type="http://schemas.openxmlformats.org/officeDocument/2006/relationships/hyperlink" Target="https://www.bps.go.id/en" TargetMode="External"/><Relationship Id="rId25" Type="http://schemas.openxmlformats.org/officeDocument/2006/relationships/hyperlink" Target="https://open.dosm.gov.my/data-catalogue" TargetMode="External"/><Relationship Id="rId26" Type="http://schemas.openxmlformats.org/officeDocument/2006/relationships/hyperlink" Target="https://deps.mofe.gov.bn/statistical-publications/" TargetMode="External"/><Relationship Id="rId27" Type="http://schemas.openxmlformats.org/officeDocument/2006/relationships/hyperlink" Target="https://data.gov.my/data-catalogue/hospital_beds" TargetMode="External"/><Relationship Id="rId28" Type="http://schemas.openxmlformats.org/officeDocument/2006/relationships/hyperlink" Target="https://api.worldbank.org/v2/country/brn/indicator/SH.MED.BEDS.ZS?format=json" TargetMode="External"/><Relationship Id="rId29" Type="http://schemas.openxmlformats.org/officeDocument/2006/relationships/hyperlink" Target="https://open.dosm.gov.my/data-catalogue/water_access" TargetMode="External"/><Relationship Id="rId30" Type="http://schemas.openxmlformats.org/officeDocument/2006/relationships/hyperlink" Target="https://api.worldbank.org/v2/country/brn/indicator/SH.H2O.BASW.ZS?format=json" TargetMode="External"/><Relationship Id="rId31" Type="http://schemas.openxmlformats.org/officeDocument/2006/relationships/hyperlink" Target="https://www.transparency.org/en/cpi/2024" TargetMode="External"/><Relationship Id="rId32" Type="http://schemas.openxmlformats.org/officeDocument/2006/relationships/hyperlink" Target="https://www.transparency.org/en/countries/brunei" TargetMode="External"/><Relationship Id="rId33" Type="http://schemas.openxmlformats.org/officeDocument/2006/relationships/hyperlink" Target="https://www.dosm.gov.my/portal-main/release-content/sustainable-development-goals-sdg-indicators--malaysia--state2024" TargetMode="External"/><Relationship Id="rId34" Type="http://schemas.openxmlformats.org/officeDocument/2006/relationships/hyperlink" Target="https://www.sdgbrunei.gov.bn/" TargetMode="External"/><Relationship Id="rId35" Type="http://schemas.openxmlformats.org/officeDocument/2006/relationships/hyperlink" Target="https://sdgs.bappenas.go.id/dashboard" TargetMode="External"/><Relationship Id="rId36" Type="http://schemas.openxmlformats.org/officeDocument/2006/relationships/hyperlink" Target="https://unstats.un.org/SDGAPI/v1/sd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