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Borneo Tracker (T002) — Data Layer Progress Report</w:t>
      </w:r>
    </w:p>
    <w:p>
      <w:r>
        <w:rPr>
          <w:b/>
        </w:rPr>
        <w:t>Phase 3 — Data Collection &amp; Pipeline</w:t>
      </w:r>
    </w:p>
    <w:p>
      <w:r>
        <w:rPr>
          <w:b/>
        </w:rPr>
        <w:t>Status:</w:t>
      </w:r>
      <w:r>
        <w:t xml:space="preserve"> Substantially complete · </w:t>
      </w:r>
      <w:r>
        <w:rPr>
          <w:b/>
        </w:rPr>
        <w:t>Report date:</w:t>
      </w:r>
      <w:r>
        <w:t xml:space="preserve"> 2026-06-29</w:t>
      </w:r>
    </w:p>
    <w:p>
      <w:r>
        <w:rPr>
          <w:b/>
        </w:rPr>
        <w:t>Prepared by:</w:t>
      </w:r>
      <w:r>
        <w:t xml:space="preserve"> Henry (data layer)</w:t>
      </w:r>
    </w:p>
    <w:p/>
    <w:p>
      <w:pPr>
        <w:pStyle w:val="Heading1"/>
      </w:pPr>
      <w:r>
        <w:t>摘要 (Executive summary, 中文)</w:t>
      </w:r>
    </w:p>
    <w:p>
      <w:r>
        <w:t xml:space="preserve">本报告记录 Borneo Tracker 数据层(Phase 3)已收集到的所有资源。我们为 </w:t>
      </w:r>
      <w:r>
        <w:rPr>
          <w:b/>
        </w:rPr>
        <w:t>4 个地区</w:t>
      </w:r>
      <w:r>
        <w:t xml:space="preserve">(Sabah、Sarawak、Brunei、Kalimantan)× </w:t>
      </w:r>
      <w:r>
        <w:rPr>
          <w:b/>
        </w:rPr>
        <w:t>三套框架</w:t>
      </w:r>
      <w:r>
        <w:t>(ESG / UN SDG / True Wealth Hexagon)建立了一条</w:t>
      </w:r>
      <w:r>
        <w:rPr>
          <w:b/>
        </w:rPr>
        <w:t>全自动、可追溯、口径统一</w:t>
      </w:r>
      <w:r>
        <w:t>的数据管道:</w:t>
      </w:r>
      <w:r>
        <w:rPr>
          <w:b/>
        </w:rPr>
        <w:t>7 个 API + 1 个手录层 → 标准表 → SQLite 数据库</w:t>
      </w:r>
      <w:r>
        <w:t>。</w:t>
      </w:r>
    </w:p>
    <w:p>
      <w:pPr>
        <w:pStyle w:val="ListBullet"/>
      </w:pPr>
      <w:r>
        <w:rPr>
          <w:b/>
        </w:rPr>
        <w:t>数据库:145 行,32 个指标,12 个地区单位;canonical(统一主指标)105 行。</w:t>
      </w:r>
    </w:p>
    <w:p>
      <w:pPr>
        <w:pStyle w:val="ListBullet"/>
      </w:pPr>
      <w:r>
        <w:rPr>
          <w:b/>
        </w:rPr>
        <w:t>可信度:high 109 / medium 18 / manual 18</w:t>
      </w:r>
      <w:r>
        <w:t xml:space="preserve"> —— 每个数字都标了成色,绝无伪造。</w:t>
      </w:r>
    </w:p>
    <w:p>
      <w:pPr>
        <w:pStyle w:val="ListBullet"/>
      </w:pPr>
      <w:r>
        <w:rPr>
          <w:b/>
        </w:rPr>
        <w:t>覆盖:Hexagon 6 支柱全覆盖;ESG 三类齐;SDG 11 个目标(原定 6 个,超额)。</w:t>
      </w:r>
    </w:p>
    <w:p>
      <w:pPr>
        <w:pStyle w:val="ListBullet"/>
      </w:pPr>
      <w:r>
        <w:rPr>
          <w:b/>
        </w:rPr>
        <w:t>真缺口仅 2 个</w:t>
      </w:r>
      <w:r>
        <w:t>(数据源确实没有):Brunei 贫困率、Sabah 电气化%。</w:t>
      </w:r>
    </w:p>
    <w:p>
      <w:pPr>
        <w:pStyle w:val="ListBullet"/>
      </w:pPr>
      <w:r>
        <w:rPr>
          <w:b/>
        </w:rPr>
        <w:t>暂缓 (Phase 2):</w:t>
      </w:r>
      <w:r>
        <w:t xml:space="preserve"> 河流水质(已取消,SDG6 由清洁水覆盖)、洪水风险、道路里程、自给率 —— 数据为事件型/仅全国/陈旧,达不到 4 地区可比标准。</w:t>
      </w:r>
    </w:p>
    <w:p/>
    <w:p>
      <w:pPr>
        <w:pStyle w:val="Heading1"/>
      </w:pPr>
      <w:r>
        <w:t>1.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Territories (4)</w:t>
            </w:r>
          </w:p>
        </w:tc>
        <w:tc>
          <w:tcPr>
            <w:tcW w:type="dxa" w:w="4320"/>
          </w:tcPr>
          <w:p>
            <w:r/>
            <w:r>
              <w:t>Sabah, Sarawak (Malaysia) · Brunei · Kalimantan (Indonesia, 5 provinces rolled up)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Frameworks (3)</w:t>
            </w:r>
          </w:p>
        </w:tc>
        <w:tc>
          <w:tcPr>
            <w:tcW w:type="dxa" w:w="4320"/>
          </w:tcPr>
          <w:p>
            <w:r/>
            <w:r>
              <w:t>ESG (E/S/G) · UN SDG · True Wealth Hexagon (6 pillars)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/>
            <w:r>
              <w:t>One auto-pullable, cited, consistent dataset feeding the Resilience Index dashboard</w:t>
            </w:r>
          </w:p>
        </w:tc>
      </w:tr>
    </w:tbl>
    <w:p/>
    <w:p>
      <w:pPr>
        <w:pStyle w:val="Heading1"/>
      </w:pPr>
      <w:r>
        <w:t>2. Architecture</w:t>
      </w:r>
    </w:p>
    <w:p>
      <w:r>
        <w:rPr>
          <w:rFonts w:ascii="Consolas" w:hAnsi="Consolas"/>
          <w:sz w:val="17"/>
        </w:rPr>
        <w:t xml:space="preserve">  7 scheduled API pulls ─┐</w:t>
        <w:br/>
        <w:t xml:space="preserve">  1 manual layer (cited) ─┼─► standard table ─► SQLite (keep-last-good, canonical flag) ─► frontend reads</w:t>
        <w:br/>
        <w:t xml:space="preserve">                          │     territory | indicator | year | value | unit | source | data_level</w:t>
        <w:br/>
        <w:t xml:space="preserve">                          │     + esg_pillar | sdg_goal | hexagon_pillar | confidence | last_updated | canonical</w:t>
      </w:r>
    </w:p>
    <w:p>
      <w:r>
        <w:rPr>
          <w:b/>
        </w:rPr>
        <w:t>Rule:</w:t>
      </w:r>
      <w:r>
        <w:t xml:space="preserve"> API keys are backend-only; the frontend never calls a source API (CORS + key-exposure). The backend pulls on schedule, writes the standard table, and the frontend reads the database.</w:t>
      </w:r>
    </w:p>
    <w:p>
      <w:pPr>
        <w:pStyle w:val="Heading1"/>
      </w:pPr>
      <w:r>
        <w:t>3. Data sources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Key?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Used for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Access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data.gov.my / OpenDOSM</w:t>
            </w:r>
          </w:p>
        </w:tc>
        <w:tc>
          <w:tcPr>
            <w:tcW w:type="dxa" w:w="1440"/>
          </w:tcPr>
          <w:p>
            <w:r/>
            <w:r>
              <w:t>🏛️ Malaysia gov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Sabah/Sarawak state indicators</w:t>
            </w:r>
          </w:p>
        </w:tc>
        <w:tc>
          <w:tcPr>
            <w:tcW w:type="dxa" w:w="1440"/>
          </w:tcPr>
          <w:p>
            <w:r/>
            <w:r>
              <w:t>keyless API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World Bank</w:t>
            </w:r>
            <w:r>
              <w:t xml:space="preserve"> (+ WGI)</w:t>
            </w:r>
          </w:p>
        </w:tc>
        <w:tc>
          <w:tcPr>
            <w:tcW w:type="dxa" w:w="1440"/>
          </w:tcPr>
          <w:p>
            <w:r/>
            <w:r>
              <w:t>World Bank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Brunei national + governance + renewable</w:t>
            </w:r>
          </w:p>
        </w:tc>
        <w:tc>
          <w:tcPr>
            <w:tcW w:type="dxa" w:w="1440"/>
          </w:tcPr>
          <w:p>
            <w:r/>
            <w:r>
              <w:t>keyless API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UN SDG API</w:t>
            </w:r>
          </w:p>
        </w:tc>
        <w:tc>
          <w:tcPr>
            <w:tcW w:type="dxa" w:w="1440"/>
          </w:tcPr>
          <w:p>
            <w:r/>
            <w:r>
              <w:t>UN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national SDG baseline</w:t>
            </w:r>
          </w:p>
        </w:tc>
        <w:tc>
          <w:tcPr>
            <w:tcW w:type="dxa" w:w="1440"/>
          </w:tcPr>
          <w:p>
            <w:r/>
            <w:r>
              <w:t>keyless API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BPS Indonesia</w:t>
            </w:r>
          </w:p>
        </w:tc>
        <w:tc>
          <w:tcPr>
            <w:tcW w:type="dxa" w:w="1440"/>
          </w:tcPr>
          <w:p>
            <w:r/>
            <w:r>
              <w:t>🏛️ Indonesia gov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Kalimantan 5 provinces (verified var-id map)</w:t>
            </w:r>
          </w:p>
        </w:tc>
        <w:tc>
          <w:tcPr>
            <w:tcW w:type="dxa" w:w="1440"/>
          </w:tcPr>
          <w:p>
            <w:r/>
            <w:r>
              <w:t>key + User-Agent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Global Forest Watch</w:t>
            </w:r>
          </w:p>
        </w:tc>
        <w:tc>
          <w:tcPr>
            <w:tcW w:type="dxa" w:w="1440"/>
          </w:tcPr>
          <w:p>
            <w:r/>
            <w:r>
              <w:t>WRI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forest extent/loss + VIIRS fire alerts</w:t>
            </w:r>
          </w:p>
        </w:tc>
        <w:tc>
          <w:tcPr>
            <w:tcW w:type="dxa" w:w="1440"/>
          </w:tcPr>
          <w:p>
            <w:r/>
            <w:r>
              <w:t>key (</w:t>
            </w:r>
            <w:r>
              <w:rPr>
                <w:rFonts w:ascii="Consolas" w:hAnsi="Consolas"/>
              </w:rPr>
              <w:t>x-api-key</w:t>
            </w:r>
            <w:r>
              <w:t>)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NASA FIRMS</w:t>
            </w:r>
          </w:p>
        </w:tc>
        <w:tc>
          <w:tcPr>
            <w:tcW w:type="dxa" w:w="1440"/>
          </w:tcPr>
          <w:p>
            <w:r/>
            <w:r>
              <w:t>🏛️ US gov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fire hotspots (backup; GFW is primary)</w:t>
            </w:r>
          </w:p>
        </w:tc>
        <w:tc>
          <w:tcPr>
            <w:tcW w:type="dxa" w:w="1440"/>
          </w:tcPr>
          <w:p>
            <w:r/>
            <w:r>
              <w:t>key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WAQI / aqicn</w:t>
            </w:r>
          </w:p>
        </w:tc>
        <w:tc>
          <w:tcPr>
            <w:tcW w:type="dxa" w:w="1440"/>
          </w:tcPr>
          <w:p>
            <w:r/>
            <w:r>
              <w:t>community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live city air quality</w:t>
            </w:r>
          </w:p>
        </w:tc>
        <w:tc>
          <w:tcPr>
            <w:tcW w:type="dxa" w:w="1440"/>
          </w:tcPr>
          <w:p>
            <w:r/>
            <w:r>
              <w:t>token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Manual layer</w:t>
            </w:r>
            <w:r>
              <w:t xml:space="preserve"> (</w:t>
            </w:r>
            <w:r>
              <w:rPr>
                <w:rFonts w:ascii="Consolas" w:hAnsi="Consolas"/>
              </w:rPr>
              <w:t>manual_overrides.csv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t>DOSM/UNDP/FAO/GDL/agencies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report-only figures, each cited</w:t>
            </w:r>
          </w:p>
        </w:tc>
        <w:tc>
          <w:tcPr>
            <w:tcW w:type="dxa" w:w="1440"/>
          </w:tcPr>
          <w:p>
            <w:r/>
            <w:r>
              <w:t>manual + provenance</w:t>
            </w:r>
          </w:p>
        </w:tc>
      </w:tr>
    </w:tbl>
    <w:p/>
    <w:p>
      <w:pPr>
        <w:pStyle w:val="Heading1"/>
      </w:pPr>
      <w:r>
        <w:t>4. Indicator coverage (canonical / unified metric per concept)</w:t>
      </w:r>
    </w:p>
    <w:p>
      <w:pPr>
        <w:pStyle w:val="IntenseQuote"/>
      </w:pPr>
      <w:r>
        <w:rPr>
          <w:rFonts w:ascii="Consolas" w:hAnsi="Consolas"/>
        </w:rPr>
        <w:t>(year, confidence)</w:t>
      </w:r>
      <w:r>
        <w:t xml:space="preserve"> — </w:t>
      </w:r>
      <w:r>
        <w:rPr>
          <w:b/>
        </w:rPr>
        <w:t>h</w:t>
      </w:r>
      <w:r>
        <w:t xml:space="preserve">=high (exact API) · </w:t>
      </w:r>
      <w:r>
        <w:rPr>
          <w:b/>
        </w:rPr>
        <w:t>m</w:t>
      </w:r>
      <w:r>
        <w:t xml:space="preserve">=medium (national-inherited or 5-province mean) · </w:t>
      </w:r>
      <w:r>
        <w:rPr>
          <w:b/>
        </w:rPr>
        <w:t>R</w:t>
      </w:r>
      <w:r>
        <w:t>=manual (cited report). GAP = no data exists.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Concept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ESG·SDG·Hexagon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Sabah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Sarawak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Brunei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Kalimantan</w:t>
            </w:r>
          </w:p>
        </w:tc>
      </w:tr>
      <w:tr>
        <w:tc>
          <w:tcPr>
            <w:tcW w:type="dxa" w:w="1440"/>
          </w:tcPr>
          <w:p>
            <w:r/>
            <w:r>
              <w:t>Forest cover (ha)</w:t>
            </w:r>
          </w:p>
        </w:tc>
        <w:tc>
          <w:tcPr>
            <w:tcW w:type="dxa" w:w="1440"/>
          </w:tcPr>
          <w:p>
            <w:r/>
            <w:r>
              <w:t>E·SDG15</w:t>
            </w:r>
          </w:p>
        </w:tc>
        <w:tc>
          <w:tcPr>
            <w:tcW w:type="dxa" w:w="1440"/>
          </w:tcPr>
          <w:p>
            <w:r/>
            <w:r>
              <w:t>6.68M (h)</w:t>
            </w:r>
          </w:p>
        </w:tc>
        <w:tc>
          <w:tcPr>
            <w:tcW w:type="dxa" w:w="1440"/>
          </w:tcPr>
          <w:p>
            <w:r/>
            <w:r>
              <w:t>11.64M (h)</w:t>
            </w:r>
          </w:p>
        </w:tc>
        <w:tc>
          <w:tcPr>
            <w:tcW w:type="dxa" w:w="1440"/>
          </w:tcPr>
          <w:p>
            <w:r/>
            <w:r>
              <w:t>0.53M (h)</w:t>
            </w:r>
          </w:p>
        </w:tc>
        <w:tc>
          <w:tcPr>
            <w:tcW w:type="dxa" w:w="1440"/>
          </w:tcPr>
          <w:p>
            <w:r/>
            <w:r>
              <w:t>49.93M (h)</w:t>
            </w:r>
          </w:p>
        </w:tc>
      </w:tr>
      <w:tr>
        <w:tc>
          <w:tcPr>
            <w:tcW w:type="dxa" w:w="1440"/>
          </w:tcPr>
          <w:p>
            <w:r/>
            <w:r>
              <w:t>Fire alerts (count)</w:t>
            </w:r>
          </w:p>
        </w:tc>
        <w:tc>
          <w:tcPr>
            <w:tcW w:type="dxa" w:w="1440"/>
          </w:tcPr>
          <w:p>
            <w:r/>
            <w:r>
              <w:t>E·SDG13</w:t>
            </w:r>
          </w:p>
        </w:tc>
        <w:tc>
          <w:tcPr>
            <w:tcW w:type="dxa" w:w="1440"/>
          </w:tcPr>
          <w:p>
            <w:r/>
            <w:r>
              <w:t>697 (h)</w:t>
            </w:r>
          </w:p>
        </w:tc>
        <w:tc>
          <w:tcPr>
            <w:tcW w:type="dxa" w:w="1440"/>
          </w:tcPr>
          <w:p>
            <w:r/>
            <w:r>
              <w:t>3,326 (h)</w:t>
            </w:r>
          </w:p>
        </w:tc>
        <w:tc>
          <w:tcPr>
            <w:tcW w:type="dxa" w:w="1440"/>
          </w:tcPr>
          <w:p>
            <w:r/>
            <w:r>
              <w:t>128 (h)</w:t>
            </w:r>
          </w:p>
        </w:tc>
        <w:tc>
          <w:tcPr>
            <w:tcW w:type="dxa" w:w="1440"/>
          </w:tcPr>
          <w:p>
            <w:r/>
            <w:r>
              <w:t>27,652 (h)¹</w:t>
            </w:r>
          </w:p>
        </w:tc>
      </w:tr>
      <w:tr>
        <w:tc>
          <w:tcPr>
            <w:tcW w:type="dxa" w:w="1440"/>
          </w:tcPr>
          <w:p>
            <w:r/>
            <w:r>
              <w:t>Air quality (AQI)</w:t>
            </w:r>
          </w:p>
        </w:tc>
        <w:tc>
          <w:tcPr>
            <w:tcW w:type="dxa" w:w="1440"/>
          </w:tcPr>
          <w:p>
            <w:r/>
            <w:r>
              <w:t>E·SDG13</w:t>
            </w:r>
          </w:p>
        </w:tc>
        <w:tc>
          <w:tcPr>
            <w:tcW w:type="dxa" w:w="1440"/>
          </w:tcPr>
          <w:p>
            <w:r/>
            <w:r>
              <w:t>38 (m)</w:t>
            </w:r>
          </w:p>
        </w:tc>
        <w:tc>
          <w:tcPr>
            <w:tcW w:type="dxa" w:w="1440"/>
          </w:tcPr>
          <w:p>
            <w:r/>
            <w:r>
              <w:t>39 (m)</w:t>
            </w:r>
          </w:p>
        </w:tc>
        <w:tc>
          <w:tcPr>
            <w:tcW w:type="dxa" w:w="1440"/>
          </w:tcPr>
          <w:p>
            <w:r/>
            <w:r>
              <w:t>7 (m)</w:t>
            </w:r>
          </w:p>
        </w:tc>
        <w:tc>
          <w:tcPr>
            <w:tcW w:type="dxa" w:w="1440"/>
          </w:tcPr>
          <w:p>
            <w:r/>
            <w:r>
              <w:t>56 (m)</w:t>
            </w:r>
          </w:p>
        </w:tc>
      </w:tr>
      <w:tr>
        <w:tc>
          <w:tcPr>
            <w:tcW w:type="dxa" w:w="1440"/>
          </w:tcPr>
          <w:p>
            <w:r/>
            <w:r>
              <w:t>Clean water (%)</w:t>
            </w:r>
          </w:p>
        </w:tc>
        <w:tc>
          <w:tcPr>
            <w:tcW w:type="dxa" w:w="1440"/>
          </w:tcPr>
          <w:p>
            <w:r/>
            <w:r>
              <w:t>S·SDG6</w:t>
            </w:r>
          </w:p>
        </w:tc>
        <w:tc>
          <w:tcPr>
            <w:tcW w:type="dxa" w:w="1440"/>
          </w:tcPr>
          <w:p>
            <w:r/>
            <w:r>
              <w:t>80.5 (h)</w:t>
            </w:r>
          </w:p>
        </w:tc>
        <w:tc>
          <w:tcPr>
            <w:tcW w:type="dxa" w:w="1440"/>
          </w:tcPr>
          <w:p>
            <w:r/>
            <w:r>
              <w:t>83.7 (h)</w:t>
            </w:r>
          </w:p>
        </w:tc>
        <w:tc>
          <w:tcPr>
            <w:tcW w:type="dxa" w:w="1440"/>
          </w:tcPr>
          <w:p>
            <w:r/>
            <w:r>
              <w:t>100 (h)</w:t>
            </w:r>
          </w:p>
        </w:tc>
        <w:tc>
          <w:tcPr>
            <w:tcW w:type="dxa" w:w="1440"/>
          </w:tcPr>
          <w:p>
            <w:r/>
            <w:r>
              <w:t>89.4 (m)</w:t>
            </w:r>
          </w:p>
        </w:tc>
      </w:tr>
      <w:tr>
        <w:tc>
          <w:tcPr>
            <w:tcW w:type="dxa" w:w="1440"/>
          </w:tcPr>
          <w:p>
            <w:r/>
            <w:r>
              <w:t>Employment / unemployment (%)</w:t>
            </w:r>
          </w:p>
        </w:tc>
        <w:tc>
          <w:tcPr>
            <w:tcW w:type="dxa" w:w="1440"/>
          </w:tcPr>
          <w:p>
            <w:r/>
            <w:r>
              <w:t>S·SDG8</w:t>
            </w:r>
          </w:p>
        </w:tc>
        <w:tc>
          <w:tcPr>
            <w:tcW w:type="dxa" w:w="1440"/>
          </w:tcPr>
          <w:p>
            <w:r/>
            <w:r>
              <w:t>5.7 (h)</w:t>
            </w:r>
          </w:p>
        </w:tc>
        <w:tc>
          <w:tcPr>
            <w:tcW w:type="dxa" w:w="1440"/>
          </w:tcPr>
          <w:p>
            <w:r/>
            <w:r>
              <w:t>3.1 (h)</w:t>
            </w:r>
          </w:p>
        </w:tc>
        <w:tc>
          <w:tcPr>
            <w:tcW w:type="dxa" w:w="1440"/>
          </w:tcPr>
          <w:p>
            <w:r/>
            <w:r>
              <w:t>5.3 (h)</w:t>
            </w:r>
          </w:p>
        </w:tc>
        <w:tc>
          <w:tcPr>
            <w:tcW w:type="dxa" w:w="1440"/>
          </w:tcPr>
          <w:p>
            <w:r/>
            <w:r>
              <w:t>4.3 (m)</w:t>
            </w:r>
          </w:p>
        </w:tc>
      </w:tr>
      <w:tr>
        <w:tc>
          <w:tcPr>
            <w:tcW w:type="dxa" w:w="1440"/>
          </w:tcPr>
          <w:p>
            <w:r/>
            <w:r>
              <w:t>GDP growth (%)</w:t>
            </w:r>
          </w:p>
        </w:tc>
        <w:tc>
          <w:tcPr>
            <w:tcW w:type="dxa" w:w="1440"/>
          </w:tcPr>
          <w:p>
            <w:r/>
            <w:r>
              <w:t>S·SDG8</w:t>
            </w:r>
          </w:p>
        </w:tc>
        <w:tc>
          <w:tcPr>
            <w:tcW w:type="dxa" w:w="1440"/>
          </w:tcPr>
          <w:p>
            <w:r/>
            <w:r>
              <w:t>1.3 (h)</w:t>
            </w:r>
          </w:p>
        </w:tc>
        <w:tc>
          <w:tcPr>
            <w:tcW w:type="dxa" w:w="1440"/>
          </w:tcPr>
          <w:p>
            <w:r/>
            <w:r>
              <w:t>1.2 (h)</w:t>
            </w:r>
          </w:p>
        </w:tc>
        <w:tc>
          <w:tcPr>
            <w:tcW w:type="dxa" w:w="1440"/>
          </w:tcPr>
          <w:p>
            <w:r/>
            <w:r>
              <w:t>4.1 (h)</w:t>
            </w:r>
          </w:p>
        </w:tc>
        <w:tc>
          <w:tcPr>
            <w:tcW w:type="dxa" w:w="1440"/>
          </w:tcPr>
          <w:p>
            <w:r/>
            <w:r>
              <w:t>4.5 (m)</w:t>
            </w:r>
          </w:p>
        </w:tc>
      </w:tr>
      <w:tr>
        <w:tc>
          <w:tcPr>
            <w:tcW w:type="dxa" w:w="1440"/>
          </w:tcPr>
          <w:p>
            <w:r/>
            <w:r>
              <w:t>Healthcare — life expectancy (yrs)</w:t>
            </w:r>
          </w:p>
        </w:tc>
        <w:tc>
          <w:tcPr>
            <w:tcW w:type="dxa" w:w="1440"/>
          </w:tcPr>
          <w:p>
            <w:r/>
            <w:r>
              <w:t>S·SDG3·Hex</w:t>
            </w:r>
          </w:p>
        </w:tc>
        <w:tc>
          <w:tcPr>
            <w:tcW w:type="dxa" w:w="1440"/>
          </w:tcPr>
          <w:p>
            <w:r/>
            <w:r>
              <w:t>75.3 (R)</w:t>
            </w:r>
          </w:p>
        </w:tc>
        <w:tc>
          <w:tcPr>
            <w:tcW w:type="dxa" w:w="1440"/>
          </w:tcPr>
          <w:p>
            <w:r/>
            <w:r>
              <w:t>75.4 (R)</w:t>
            </w:r>
          </w:p>
        </w:tc>
        <w:tc>
          <w:tcPr>
            <w:tcW w:type="dxa" w:w="1440"/>
          </w:tcPr>
          <w:p>
            <w:r/>
            <w:r>
              <w:t>75.5 (h)</w:t>
            </w:r>
          </w:p>
        </w:tc>
        <w:tc>
          <w:tcPr>
            <w:tcW w:type="dxa" w:w="1440"/>
          </w:tcPr>
          <w:p>
            <w:r/>
            <w:r>
              <w:t>72.3 (m)</w:t>
            </w:r>
          </w:p>
        </w:tc>
      </w:tr>
      <w:tr>
        <w:tc>
          <w:tcPr>
            <w:tcW w:type="dxa" w:w="1440"/>
          </w:tcPr>
          <w:p>
            <w:r/>
            <w:r>
              <w:t>Education — mean yrs schooling</w:t>
            </w:r>
          </w:p>
        </w:tc>
        <w:tc>
          <w:tcPr>
            <w:tcW w:type="dxa" w:w="1440"/>
          </w:tcPr>
          <w:p>
            <w:r/>
            <w:r>
              <w:t>S·SDG4·Hex</w:t>
            </w:r>
          </w:p>
        </w:tc>
        <w:tc>
          <w:tcPr>
            <w:tcW w:type="dxa" w:w="1440"/>
          </w:tcPr>
          <w:p>
            <w:r/>
            <w:r>
              <w:t>8.7 (R)</w:t>
            </w:r>
          </w:p>
        </w:tc>
        <w:tc>
          <w:tcPr>
            <w:tcW w:type="dxa" w:w="1440"/>
          </w:tcPr>
          <w:p>
            <w:r/>
            <w:r>
              <w:t>8.7 (R)</w:t>
            </w:r>
          </w:p>
        </w:tc>
        <w:tc>
          <w:tcPr>
            <w:tcW w:type="dxa" w:w="1440"/>
          </w:tcPr>
          <w:p>
            <w:r/>
            <w:r>
              <w:t>9.3 (R)</w:t>
            </w:r>
          </w:p>
        </w:tc>
        <w:tc>
          <w:tcPr>
            <w:tcW w:type="dxa" w:w="1440"/>
          </w:tcPr>
          <w:p>
            <w:r/>
            <w:r>
              <w:t>9.1 (m)</w:t>
            </w:r>
          </w:p>
        </w:tc>
      </w:tr>
      <w:tr>
        <w:tc>
          <w:tcPr>
            <w:tcW w:type="dxa" w:w="1440"/>
          </w:tcPr>
          <w:p>
            <w:r/>
            <w:r>
              <w:t>Poverty (%)</w:t>
            </w:r>
          </w:p>
        </w:tc>
        <w:tc>
          <w:tcPr>
            <w:tcW w:type="dxa" w:w="1440"/>
          </w:tcPr>
          <w:p>
            <w:r/>
            <w:r>
              <w:t>S·SDG1</w:t>
            </w:r>
          </w:p>
        </w:tc>
        <w:tc>
          <w:tcPr>
            <w:tcW w:type="dxa" w:w="1440"/>
          </w:tcPr>
          <w:p>
            <w:r/>
            <w:r>
              <w:t>19.7 (h)</w:t>
            </w:r>
          </w:p>
        </w:tc>
        <w:tc>
          <w:tcPr>
            <w:tcW w:type="dxa" w:w="1440"/>
          </w:tcPr>
          <w:p>
            <w:r/>
            <w:r>
              <w:t>10.8 (h)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1440"/>
          </w:tcPr>
          <w:p>
            <w:r/>
            <w:r>
              <w:t>5.1 (m)</w:t>
            </w:r>
          </w:p>
        </w:tc>
      </w:tr>
      <w:tr>
        <w:tc>
          <w:tcPr>
            <w:tcW w:type="dxa" w:w="1440"/>
          </w:tcPr>
          <w:p>
            <w:r/>
            <w:r>
              <w:t>Governance — WGI (score)</w:t>
            </w:r>
          </w:p>
        </w:tc>
        <w:tc>
          <w:tcPr>
            <w:tcW w:type="dxa" w:w="1440"/>
          </w:tcPr>
          <w:p>
            <w:r/>
            <w:r>
              <w:t>G·SDG16</w:t>
            </w:r>
          </w:p>
        </w:tc>
        <w:tc>
          <w:tcPr>
            <w:tcW w:type="dxa" w:w="1440"/>
          </w:tcPr>
          <w:p>
            <w:r/>
            <w:r>
              <w:t>57.9 (m)</w:t>
            </w:r>
          </w:p>
        </w:tc>
        <w:tc>
          <w:tcPr>
            <w:tcW w:type="dxa" w:w="1440"/>
          </w:tcPr>
          <w:p>
            <w:r/>
            <w:r>
              <w:t>57.9 (m)</w:t>
            </w:r>
          </w:p>
        </w:tc>
        <w:tc>
          <w:tcPr>
            <w:tcW w:type="dxa" w:w="1440"/>
          </w:tcPr>
          <w:p>
            <w:r/>
            <w:r>
              <w:t>71.9 (m)</w:t>
            </w:r>
          </w:p>
        </w:tc>
        <w:tc>
          <w:tcPr>
            <w:tcW w:type="dxa" w:w="1440"/>
          </w:tcPr>
          <w:p>
            <w:r/>
            <w:r>
              <w:t>36.8 (m)</w:t>
            </w:r>
          </w:p>
        </w:tc>
      </w:tr>
      <w:tr>
        <w:tc>
          <w:tcPr>
            <w:tcW w:type="dxa" w:w="1440"/>
          </w:tcPr>
          <w:p>
            <w:r/>
            <w:r>
              <w:t>Food — paddy (tonnes)</w:t>
            </w:r>
          </w:p>
        </w:tc>
        <w:tc>
          <w:tcPr>
            <w:tcW w:type="dxa" w:w="1440"/>
          </w:tcPr>
          <w:p>
            <w:r/>
            <w:r>
              <w:t>S·SDG2·Hex</w:t>
            </w:r>
          </w:p>
        </w:tc>
        <w:tc>
          <w:tcPr>
            <w:tcW w:type="dxa" w:w="1440"/>
          </w:tcPr>
          <w:p>
            <w:r/>
            <w:r>
              <w:t>107,565 (h)</w:t>
            </w:r>
          </w:p>
        </w:tc>
        <w:tc>
          <w:tcPr>
            <w:tcW w:type="dxa" w:w="1440"/>
          </w:tcPr>
          <w:p>
            <w:r/>
            <w:r>
              <w:t>147,272 (h)</w:t>
            </w:r>
          </w:p>
        </w:tc>
        <w:tc>
          <w:tcPr>
            <w:tcW w:type="dxa" w:w="1440"/>
          </w:tcPr>
          <w:p>
            <w:r/>
            <w:r>
              <w:t>3,700 (R)</w:t>
            </w:r>
          </w:p>
        </w:tc>
        <w:tc>
          <w:tcPr>
            <w:tcW w:type="dxa" w:w="1440"/>
          </w:tcPr>
          <w:p>
            <w:r/>
            <w:r>
              <w:t>1.62M (h)</w:t>
            </w:r>
          </w:p>
        </w:tc>
      </w:tr>
      <w:tr>
        <w:tc>
          <w:tcPr>
            <w:tcW w:type="dxa" w:w="1440"/>
          </w:tcPr>
          <w:p>
            <w:r/>
            <w:r>
              <w:t>Energy — electrification (%)</w:t>
            </w:r>
          </w:p>
        </w:tc>
        <w:tc>
          <w:tcPr>
            <w:tcW w:type="dxa" w:w="1440"/>
          </w:tcPr>
          <w:p>
            <w:r/>
            <w:r>
              <w:t>S·SDG7·Hex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1440"/>
          </w:tcPr>
          <w:p>
            <w:r/>
            <w:r>
              <w:t>99.4 (R)</w:t>
            </w:r>
          </w:p>
        </w:tc>
        <w:tc>
          <w:tcPr>
            <w:tcW w:type="dxa" w:w="1440"/>
          </w:tcPr>
          <w:p>
            <w:r/>
            <w:r>
              <w:t>100 (h)</w:t>
            </w:r>
          </w:p>
        </w:tc>
        <w:tc>
          <w:tcPr>
            <w:tcW w:type="dxa" w:w="1440"/>
          </w:tcPr>
          <w:p>
            <w:r/>
            <w:r>
              <w:t>93.1 (m)</w:t>
            </w:r>
          </w:p>
        </w:tc>
      </w:tr>
      <w:tr>
        <w:tc>
          <w:tcPr>
            <w:tcW w:type="dxa" w:w="1440"/>
          </w:tcPr>
          <w:p>
            <w:r/>
            <w:r>
              <w:t>Shelter — households (count)</w:t>
            </w:r>
          </w:p>
        </w:tc>
        <w:tc>
          <w:tcPr>
            <w:tcW w:type="dxa" w:w="1440"/>
          </w:tcPr>
          <w:p>
            <w:r/>
            <w:r>
              <w:t>S·SDG11·Hex</w:t>
            </w:r>
          </w:p>
        </w:tc>
        <w:tc>
          <w:tcPr>
            <w:tcW w:type="dxa" w:w="1440"/>
          </w:tcPr>
          <w:p>
            <w:r/>
            <w:r>
              <w:t>806,300 (h)</w:t>
            </w:r>
          </w:p>
        </w:tc>
        <w:tc>
          <w:tcPr>
            <w:tcW w:type="dxa" w:w="1440"/>
          </w:tcPr>
          <w:p>
            <w:r/>
            <w:r>
              <w:t>656,300 (h)</w:t>
            </w:r>
          </w:p>
        </w:tc>
        <w:tc>
          <w:tcPr>
            <w:tcW w:type="dxa" w:w="1440"/>
          </w:tcPr>
          <w:p>
            <w:r/>
            <w:r>
              <w:t>87,137 (h)</w:t>
            </w:r>
          </w:p>
        </w:tc>
        <w:tc>
          <w:tcPr>
            <w:tcW w:type="dxa" w:w="1440"/>
          </w:tcPr>
          <w:p>
            <w:r/>
            <w:r>
              <w:t>1.63M (h)</w:t>
            </w:r>
          </w:p>
        </w:tc>
      </w:tr>
      <w:tr>
        <w:tc>
          <w:tcPr>
            <w:tcW w:type="dxa" w:w="1440"/>
          </w:tcPr>
          <w:p>
            <w:r/>
            <w:r>
              <w:t>Tourism — visitors</w:t>
            </w:r>
          </w:p>
        </w:tc>
        <w:tc>
          <w:tcPr>
            <w:tcW w:type="dxa" w:w="1440"/>
          </w:tcPr>
          <w:p>
            <w:r/>
            <w:r>
              <w:t>S·SDG8·Hex</w:t>
            </w:r>
          </w:p>
        </w:tc>
        <w:tc>
          <w:tcPr>
            <w:tcW w:type="dxa" w:w="1440"/>
          </w:tcPr>
          <w:p>
            <w:r/>
            <w:r>
              <w:t>3.2M (R)</w:t>
            </w:r>
          </w:p>
        </w:tc>
        <w:tc>
          <w:tcPr>
            <w:tcW w:type="dxa" w:w="1440"/>
          </w:tcPr>
          <w:p>
            <w:r/>
            <w:r>
              <w:t>4.83M (R)</w:t>
            </w:r>
          </w:p>
        </w:tc>
        <w:tc>
          <w:tcPr>
            <w:tcW w:type="dxa" w:w="1440"/>
          </w:tcPr>
          <w:p>
            <w:r/>
            <w:r>
              <w:t>678,037 (R)</w:t>
            </w:r>
          </w:p>
        </w:tc>
        <w:tc>
          <w:tcPr>
            <w:tcW w:type="dxa" w:w="1440"/>
          </w:tcPr>
          <w:p>
            <w:r/>
            <w:r>
              <w:t>4.74M (h)²</w:t>
            </w:r>
          </w:p>
        </w:tc>
      </w:tr>
    </w:tbl>
    <w:p/>
    <w:p>
      <w:r>
        <w:t>¹ Kalimantan fire = 4/5 provinces (Kaltim's GADM adm1 code in the GFW fire dataset is unverifiable by name; excluded rather than guessed).</w:t>
      </w:r>
    </w:p>
    <w:p>
      <w:r>
        <w:t>² Kalimantan tourism = domestic trips; the other three = visitor arrivals. Comparable in scale, different in definition (documented).</w:t>
      </w:r>
    </w:p>
    <w:p>
      <w:r>
        <w:rPr>
          <w:b/>
        </w:rPr>
        <w:t>Support indicators</w:t>
      </w:r>
      <w:r>
        <w:t xml:space="preserve"> (enrich pillars, </w:t>
      </w:r>
      <w:r>
        <w:rPr>
          <w:rFonts w:ascii="Consolas" w:hAnsi="Consolas"/>
        </w:rPr>
        <w:t>canonical=0</w:t>
      </w:r>
      <w:r>
        <w:t>): Renewable electricity % (WB, national-inherited) · UNESCO World Heritage Sites (Sabah 1, Sarawak 2, Brunei 0, Kalimantan 0) · National parks count (Sabah 9, Sarawak 30, Brunei 1, Kalimantan 8 — definition differs per jurisdiction, not scale-comparable).</w:t>
      </w:r>
    </w:p>
    <w:p>
      <w:pPr>
        <w:pStyle w:val="Heading1"/>
      </w:pPr>
      <w:r>
        <w:t>5. Framework coverage</w:t>
      </w:r>
    </w:p>
    <w:p>
      <w:pPr>
        <w:pStyle w:val="ListBullet"/>
      </w:pPr>
      <w:r>
        <w:rPr>
          <w:b/>
        </w:rPr>
        <w:t>Hexagon — 6/6 pillars:</w:t>
      </w:r>
      <w:r>
        <w:t xml:space="preserve"> Food · Energy · Education · Shelter · Healthcare · Entertainment. [OK] All have an anchor indicator; several have support indicators.</w:t>
      </w:r>
    </w:p>
    <w:p>
      <w:pPr>
        <w:pStyle w:val="ListBullet"/>
      </w:pPr>
      <w:r>
        <w:rPr>
          <w:b/>
        </w:rPr>
        <w:t>ESG — 3/3 categories:</w:t>
      </w:r>
      <w:r>
        <w:t xml:space="preserve"> Environment (5 indicators), Social (majority), Governance (WGI). [OK]</w:t>
      </w:r>
    </w:p>
    <w:p>
      <w:pPr>
        <w:pStyle w:val="ListBullet"/>
      </w:pPr>
      <w:r>
        <w:rPr>
          <w:b/>
        </w:rPr>
        <w:t>UN SDG — 11/17 goals covered:</w:t>
      </w:r>
      <w:r>
        <w:t xml:space="preserve"> SDG 1, 2, 3, 4, 6, 7, 8, 11, 13, 15, 16. The original plan scoped 6 goals (1,4,6,8,13,15) — all met and exceeded. Not covered: SDG 5, 9, 10, 12, 14, 17.</w:t>
      </w:r>
    </w:p>
    <w:p>
      <w:pPr>
        <w:pStyle w:val="Heading1"/>
      </w:pPr>
      <w:r>
        <w:t>6. Data quality &amp; integrity</w:t>
      </w:r>
    </w:p>
    <w:p>
      <w:pPr>
        <w:pStyle w:val="ListBullet"/>
      </w:pPr>
      <w:r>
        <w:rPr>
          <w:b/>
        </w:rPr>
        <w:t>Confidence layer (145 rows):</w:t>
      </w:r>
      <w:r>
        <w:t xml:space="preserve"> high 109 · medium 18 · manual 18. Every value carries a confidence tag; the dashboard shows score </w:t>
      </w:r>
      <w:r>
        <w:rPr>
          <w:b/>
        </w:rPr>
        <w:t>and</w:t>
      </w:r>
      <w:r>
        <w:t xml:space="preserve"> confidence (the ABCDE "Ethics" pillar).</w:t>
      </w:r>
    </w:p>
    <w:p>
      <w:pPr>
        <w:pStyle w:val="ListBullet"/>
      </w:pPr>
      <w:r>
        <w:rPr>
          <w:b/>
        </w:rPr>
        <w:t>high</w:t>
      </w:r>
      <w:r>
        <w:t xml:space="preserve"> = exact sub-national value from a live API.</w:t>
      </w:r>
    </w:p>
    <w:p>
      <w:pPr>
        <w:pStyle w:val="ListBullet"/>
      </w:pPr>
      <w:r>
        <w:rPr>
          <w:b/>
        </w:rPr>
        <w:t>medium</w:t>
      </w:r>
      <w:r>
        <w:t xml:space="preserve"> = national figure inherited to a territory, or an unweighted mean of the 5 Kalimantan provinces (an approximation, labelled).</w:t>
      </w:r>
    </w:p>
    <w:p>
      <w:pPr>
        <w:pStyle w:val="ListBullet"/>
      </w:pPr>
      <w:r>
        <w:rPr>
          <w:b/>
        </w:rPr>
        <w:t>manual</w:t>
      </w:r>
      <w:r>
        <w:t xml:space="preserve"> = figure from an official report/PDF (no API), recorded with </w:t>
      </w:r>
      <w:r>
        <w:rPr>
          <w:rFonts w:ascii="Consolas" w:hAnsi="Consolas"/>
        </w:rPr>
        <w:t>source_doc / source_url / retrieved_date / note</w:t>
      </w:r>
      <w:r>
        <w:t xml:space="preserve"> so it is fully auditable.</w:t>
      </w:r>
    </w:p>
    <w:p>
      <w:pPr>
        <w:pStyle w:val="ListBullet"/>
      </w:pPr>
      <w:r>
        <w:rPr>
          <w:b/>
        </w:rPr>
        <w:t>Integrity measures:</w:t>
      </w:r>
      <w:r>
        <w:t xml:space="preserve"> verified BPS var-id map (no silent catalog truncation) · keep-last-good upsert (a source being down does not wipe its last value) · GFW fire (FIRMS-independent) · no fabricated numbers — gaps are left blank and documented, manual figures are cited, approximations are labelled.</w:t>
      </w:r>
    </w:p>
    <w:p>
      <w:pPr>
        <w:pStyle w:val="Heading1"/>
      </w:pPr>
      <w:r>
        <w:t>7. Known gaps &amp; deferred work</w:t>
      </w:r>
    </w:p>
    <w:p>
      <w:r>
        <w:rPr>
          <w:b/>
        </w:rPr>
        <w:t>Genuine gaps (no public data exists):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/>
            <w:r>
              <w:t>Poverty — Brunei</w:t>
            </w:r>
          </w:p>
        </w:tc>
        <w:tc>
          <w:tcPr>
            <w:tcW w:type="dxa" w:w="4320"/>
          </w:tcPr>
          <w:p>
            <w:r/>
            <w:r>
              <w:t>High-income country; no comparable national poverty-line rate published</w:t>
            </w:r>
          </w:p>
        </w:tc>
      </w:tr>
      <w:tr>
        <w:tc>
          <w:tcPr>
            <w:tcW w:type="dxa" w:w="4320"/>
          </w:tcPr>
          <w:p>
            <w:r/>
            <w:r>
              <w:t>Energy % — Sabah</w:t>
            </w:r>
          </w:p>
        </w:tc>
        <w:tc>
          <w:tcPr>
            <w:tcW w:type="dxa" w:w="4320"/>
          </w:tcPr>
          <w:p>
            <w:r/>
            <w:r>
              <w:t>No statewide electrification % ever published (only a 2030 target)</w:t>
            </w:r>
          </w:p>
        </w:tc>
      </w:tr>
    </w:tbl>
    <w:p/>
    <w:p>
      <w:r>
        <w:rPr>
          <w:b/>
        </w:rPr>
        <w:t>Deferred (Phase 2 — data not ready for cross-territory scoring), verified 2026-06-29: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Reality</w:t>
            </w:r>
          </w:p>
        </w:tc>
      </w:tr>
      <w:tr>
        <w:tc>
          <w:tcPr>
            <w:tcW w:type="dxa" w:w="4320"/>
          </w:tcPr>
          <w:p>
            <w:r/>
            <w:r>
              <w:t>River water quality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Dropped.</w:t>
            </w:r>
            <w:r>
              <w:t xml:space="preserve"> No comparable data (Kalimantan API, Malaysia DOE PDF, Brunei only a class). SDG6 already covered by clean-water access.</w:t>
            </w:r>
          </w:p>
        </w:tc>
      </w:tr>
      <w:tr>
        <w:tc>
          <w:tcPr>
            <w:tcW w:type="dxa" w:w="4320"/>
          </w:tcPr>
          <w:p>
            <w:r/>
            <w:r>
              <w:t>Flood risk</w:t>
            </w:r>
          </w:p>
        </w:tc>
        <w:tc>
          <w:tcPr>
            <w:tcW w:type="dxa" w:w="4320"/>
          </w:tcPr>
          <w:p>
            <w:r/>
            <w:r>
              <w:t>Real index only for Indonesia (BNPB InaRISK per district). Malaysia/Brunei have no equivalent → not cross-territory comparable.</w:t>
            </w:r>
          </w:p>
        </w:tc>
      </w:tr>
      <w:tr>
        <w:tc>
          <w:tcPr>
            <w:tcW w:type="dxa" w:w="4320"/>
          </w:tcPr>
          <w:p>
            <w:r/>
            <w:r>
              <w:t>Road length</w:t>
            </w:r>
          </w:p>
        </w:tc>
        <w:tc>
          <w:tcPr>
            <w:tcW w:type="dxa" w:w="4320"/>
          </w:tcPr>
          <w:p>
            <w:r/>
            <w:r>
              <w:t>Findable for all 4 but stale (Malaysia 2016) and from mixed sources/years; better expressed as road density.</w:t>
            </w:r>
          </w:p>
        </w:tc>
      </w:tr>
      <w:tr>
        <w:tc>
          <w:tcPr>
            <w:tcW w:type="dxa" w:w="4320"/>
          </w:tcPr>
          <w:p>
            <w:r/>
            <w:r>
              <w:t>Self-sufficiency ratio (Food)</w:t>
            </w:r>
          </w:p>
        </w:tc>
        <w:tc>
          <w:tcPr>
            <w:tcW w:type="dxa" w:w="4320"/>
          </w:tcPr>
          <w:p>
            <w:r/>
            <w:r>
              <w:t xml:space="preserve">Published </w:t>
            </w:r>
            <w:r>
              <w:rPr>
                <w:b/>
              </w:rPr>
              <w:t>national only</w:t>
            </w:r>
            <w:r>
              <w:t xml:space="preserve"> (MY rice 56.2% 2023, Brunei ~8%); no official sub-national figure.</w:t>
            </w:r>
          </w:p>
        </w:tc>
      </w:tr>
      <w:tr>
        <w:tc>
          <w:tcPr>
            <w:tcW w:type="dxa" w:w="4320"/>
          </w:tcPr>
          <w:p>
            <w:r/>
            <w:r>
              <w:t>AI forecasting · Blockchain verification</w:t>
            </w:r>
          </w:p>
        </w:tc>
        <w:tc>
          <w:tcPr>
            <w:tcW w:type="dxa" w:w="4320"/>
          </w:tcPr>
          <w:p>
            <w:r/>
            <w:r>
              <w:t>ABCDE "A" &amp; "B" — future technical features.</w:t>
            </w:r>
          </w:p>
        </w:tc>
      </w:tr>
    </w:tbl>
    <w:p/>
    <w:p>
      <w:pPr>
        <w:pStyle w:val="Heading1"/>
      </w:pPr>
      <w:r>
        <w:t>8. Code &amp; document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ingest_poc.py</w:t>
            </w:r>
          </w:p>
        </w:tc>
        <w:tc>
          <w:tcPr>
            <w:tcW w:type="dxa" w:w="4320"/>
          </w:tcPr>
          <w:p>
            <w:r/>
            <w:r>
              <w:t>Main pipeline — 7 source pulls + Kalimantan roll-up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load_db.py</w:t>
            </w:r>
          </w:p>
        </w:tc>
        <w:tc>
          <w:tcPr>
            <w:tcW w:type="dxa" w:w="4320"/>
          </w:tcPr>
          <w:p>
            <w:r/>
            <w:r>
              <w:t>CSV → SQLite, keep-last-good upsert, manual layer, canonical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manual_overrides.csv</w:t>
            </w:r>
          </w:p>
        </w:tc>
        <w:tc>
          <w:tcPr>
            <w:tcW w:type="dxa" w:w="4320"/>
          </w:tcPr>
          <w:p>
            <w:r/>
            <w:r>
              <w:t>Cited report-only figures (provenance per row)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discover_bps_map.py</w:t>
            </w:r>
          </w:p>
        </w:tc>
        <w:tc>
          <w:tcPr>
            <w:tcW w:type="dxa" w:w="4320"/>
          </w:tcPr>
          <w:p>
            <w:r/>
            <w:r>
              <w:t>Rebuilds the verified BPS var-id 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poc_progress.py</w:t>
            </w:r>
          </w:p>
        </w:tc>
        <w:tc>
          <w:tcPr>
            <w:tcW w:type="dxa" w:w="4320"/>
          </w:tcPr>
          <w:p>
            <w:r/>
            <w:r>
              <w:t>Coverage RAG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run_pipeline.py</w:t>
            </w:r>
          </w:p>
        </w:tc>
        <w:tc>
          <w:tcPr>
            <w:tcW w:type="dxa" w:w="4320"/>
          </w:tcPr>
          <w:p>
            <w:r/>
            <w:r>
              <w:t>One-command refresh (ingest → load_db) + scheduling 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borneo_tracker.db</w:t>
            </w:r>
          </w:p>
        </w:tc>
        <w:tc>
          <w:tcPr>
            <w:tcW w:type="dxa" w:w="4320"/>
          </w:tcPr>
          <w:p>
            <w:r/>
            <w:r>
              <w:t>The standard table the frontend reads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borneo_tracker_api_keys_setup.md</w:t>
            </w:r>
          </w:p>
        </w:tc>
        <w:tc>
          <w:tcPr>
            <w:tcW w:type="dxa" w:w="4320"/>
          </w:tcPr>
          <w:p>
            <w:r/>
            <w:r>
              <w:t>Key status, gotchas, consistency &amp; gap 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borneo_tracker_data_coverage_matrix.md</w:t>
            </w:r>
            <w:r>
              <w:t xml:space="preserve"> · </w:t>
            </w:r>
            <w:r>
              <w:rPr>
                <w:rFonts w:ascii="Consolas" w:hAnsi="Consolas"/>
              </w:rPr>
              <w:t>_hexagon_pillar_data.md</w:t>
            </w:r>
          </w:p>
        </w:tc>
        <w:tc>
          <w:tcPr>
            <w:tcW w:type="dxa" w:w="4320"/>
          </w:tcPr>
          <w:p>
            <w:r/>
            <w:r>
              <w:t>Original sourcing plan (Phase-2 research)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borneo_tracker_resilience_index_methodology.md</w:t>
            </w:r>
          </w:p>
        </w:tc>
        <w:tc>
          <w:tcPr>
            <w:tcW w:type="dxa" w:w="4320"/>
          </w:tcPr>
          <w:p>
            <w:r/>
            <w:r>
              <w:t>How indicators become the Resilience Index</w:t>
            </w:r>
          </w:p>
        </w:tc>
      </w:tr>
    </w:tbl>
    <w:p/>
    <w:p>
      <w:pPr>
        <w:pStyle w:val="Heading1"/>
      </w:pPr>
      <w:r>
        <w:t>9. Next steps</w:t>
      </w:r>
    </w:p>
    <w:p>
      <w:pPr>
        <w:pStyle w:val="ListNumber"/>
      </w:pPr>
      <w:r>
        <w:rPr>
          <w:b/>
        </w:rPr>
        <w:t>Resilience Index computation</w:t>
      </w:r>
      <w:r>
        <w:t xml:space="preserve"> — implement methodology Steps 1–4 (normalize to 0–100 vs targets → pillar scores → index + weakest pillar → RAG).</w:t>
      </w:r>
    </w:p>
    <w:p>
      <w:pPr>
        <w:pStyle w:val="ListNumber"/>
      </w:pPr>
      <w:r>
        <w:rPr>
          <w:b/>
        </w:rPr>
        <w:t>Phase 4 — frontend dashboard</w:t>
      </w:r>
      <w:r>
        <w:t xml:space="preserve"> — read the SQLite DB into the three views (ESG / SDG / Hexagon) + Resilience Index, showing each value with its confidence tag.</w:t>
      </w:r>
    </w:p>
    <w:p>
      <w:pPr>
        <w:pStyle w:val="ListNumber"/>
      </w:pPr>
      <w:r>
        <w:rPr>
          <w:b/>
        </w:rPr>
        <w:t>Optional fills</w:t>
      </w:r>
      <w:r>
        <w:t xml:space="preserve"> — Sabah electrification % (write to ECoS) · road/SSR as national-inherited or Phase-2 risk flags.</w:t>
      </w:r>
    </w:p>
    <w:p/>
    <w:p>
      <w:r>
        <w:t xml:space="preserve">*Integrity note: every figure in this report is real and sourced. Where a number comes from a report rather than an API it is tagged </w:t>
      </w:r>
      <w:r>
        <w:rPr>
          <w:rFonts w:ascii="Consolas" w:hAnsi="Consolas"/>
        </w:rPr>
        <w:t>manual</w:t>
      </w:r>
      <w:r>
        <w:t xml:space="preserve"> and cited in </w:t>
      </w:r>
      <w:r>
        <w:rPr>
          <w:rFonts w:ascii="Consolas" w:hAnsi="Consolas"/>
        </w:rPr>
        <w:t>manual_overrides.csv</w:t>
      </w:r>
      <w:r>
        <w:t>; where data does not exist it is left as a documented gap, not estimated.*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