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7F4B"/>
          <w:sz w:val="52"/>
        </w:rPr>
        <w:t>Borneo Tracker (T002)</w:t>
      </w:r>
    </w:p>
    <w:p>
      <w:pPr>
        <w:jc w:val="center"/>
      </w:pPr>
      <w:r>
        <w:rPr>
          <w:color w:val="555F6B"/>
          <w:sz w:val="26"/>
        </w:rPr>
        <w:t>A Trustworthy ESG / SDG / Resilience Data Platform for Borneo</w:t>
      </w:r>
    </w:p>
    <w:p>
      <w:pPr>
        <w:jc w:val="center"/>
      </w:pPr>
      <w:r>
        <w:rPr>
          <w:i/>
          <w:color w:val="555F6B"/>
          <w:sz w:val="21"/>
        </w:rPr>
        <w:t>Project Summary for Review  ·  Phase 3: Data Layer  ·  June 2026</w:t>
      </w:r>
    </w:p>
    <w:p/>
    <w:p>
      <w:pPr>
        <w:pStyle w:val="Heading1"/>
      </w:pPr>
      <w:r>
        <w:rPr>
          <w:color w:val="1B7F4B"/>
        </w:rPr>
        <w:t>1.  Project Overview</w:t>
      </w:r>
    </w:p>
    <w:p>
      <w:pPr>
        <w:spacing w:after="120"/>
      </w:pPr>
      <w:r>
        <w:rPr>
          <w:b w:val="0"/>
          <w:i w:val="0"/>
          <w:color w:val="1F2A37"/>
          <w:sz w:val="22"/>
        </w:rPr>
        <w:t>Borneo Tracker is a public dashboard that measures the wellbeing and resilience of Borneo Island across three internationally recognised frameworks: ESG (Environmental, Social, Governance), the United Nations SDGs, and the True Wealth Hexagon of six survival pillars. It covers all four political territories of the island — Sabah and Sarawak (Malaysia), Brunei, and Kalimantan (Indonesia, five provinces).</w:t>
      </w:r>
    </w:p>
    <w:p>
      <w:pPr>
        <w:spacing w:after="120"/>
      </w:pPr>
      <w:r>
        <w:rPr>
          <w:b w:val="0"/>
          <w:i w:val="0"/>
          <w:color w:val="1F2A37"/>
          <w:sz w:val="22"/>
        </w:rPr>
        <w:t>This document summarises the work completed in the data layer (Phase 3): sourcing real data from official providers, building an automated pipeline, and producing one consistent, trustworthy database that the dashboard reads.</w:t>
      </w:r>
    </w:p>
    <w:p>
      <w:pPr>
        <w:pStyle w:val="Heading1"/>
      </w:pPr>
      <w:r>
        <w:rPr>
          <w:color w:val="1B7F4B"/>
        </w:rPr>
        <w:t>2.  The Challenge</w:t>
      </w:r>
    </w:p>
    <w:p>
      <w:pPr>
        <w:spacing w:after="120"/>
      </w:pPr>
      <w:r>
        <w:rPr>
          <w:b w:val="0"/>
          <w:i w:val="0"/>
          <w:color w:val="1F2A37"/>
          <w:sz w:val="22"/>
        </w:rPr>
        <w:t>Borneo is divided among three countries, each with its own statistics agency, language, data format, and level of digital access. The core difficulty was not building charts — it was obtaining real, comparable, and current data for the same indicators across all four territories, while never fabricating a single number.</w:t>
      </w:r>
    </w:p>
    <w:p>
      <w:pPr>
        <w:pStyle w:val="Heading1"/>
      </w:pPr>
      <w:r>
        <w:rPr>
          <w:color w:val="1B7F4B"/>
        </w:rPr>
        <w:t>3.  The Guiding Framework</w:t>
      </w:r>
    </w:p>
    <w:p>
      <w:pPr>
        <w:spacing w:after="120"/>
      </w:pPr>
      <w:r>
        <w:rPr>
          <w:b w:val="0"/>
          <w:i w:val="0"/>
          <w:color w:val="1F2A37"/>
          <w:sz w:val="22"/>
        </w:rPr>
        <w:t>Following the supervisor’s "True Wealth Hexagon" concept, the platform does not measure money. It measures whether each territory can sustain its people across six survival pillars — Food, Energy, Education, Shelter, Healthcare, and Entertainment — on the principle that resilience is defined by the weakest pillar. The same underlying data is presented through three lenses: ESG, SDG, and the Hexagon.</w:t>
      </w:r>
    </w:p>
    <w:p>
      <w:pPr>
        <w:pStyle w:val="Heading1"/>
      </w:pPr>
      <w:r>
        <w:rPr>
          <w:color w:val="1B7F4B"/>
        </w:rPr>
        <w:t>4.  System Architecture</w:t>
      </w:r>
    </w:p>
    <w:p>
      <w:pPr>
        <w:spacing w:after="120"/>
      </w:pPr>
      <w:r>
        <w:rPr>
          <w:b w:val="0"/>
          <w:i w:val="0"/>
          <w:color w:val="1F2A37"/>
          <w:sz w:val="22"/>
        </w:rPr>
        <w:t>The system follows a strict backend-to-frontend flow. Scheduled backend jobs pull from each data source, write a single standardised table, and the frontend reads only that database. API keys never reach the browser (for security and to avoid cross-origin issues). The pipeline is re-runnable and uses a "keep-last-good" rule, so a source being temporarily offline never erases previously collected data.</w:t>
      </w:r>
    </w:p>
    <w:p>
      <w:pPr>
        <w:pStyle w:val="Heading1"/>
      </w:pPr>
      <w:r>
        <w:rPr>
          <w:color w:val="1B7F4B"/>
        </w:rPr>
        <w:t>5.  Data Sources</w:t>
      </w:r>
    </w:p>
    <w:p>
      <w:pPr>
        <w:spacing w:after="120"/>
      </w:pPr>
      <w:r>
        <w:rPr>
          <w:b w:val="0"/>
          <w:i w:val="0"/>
          <w:color w:val="1F2A37"/>
          <w:sz w:val="22"/>
        </w:rPr>
        <w:t>Eight providers feed the platform — a mix of open APIs, key-protected government APIs, satellite platforms, and a cited manual layer for figures that exist only in official reports.</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tcPr>
          <w:p>
            <w:r/>
            <w:r>
              <w:rPr>
                <w:b/>
                <w:sz w:val="20"/>
              </w:rPr>
              <w:t>Source</w:t>
            </w:r>
          </w:p>
        </w:tc>
        <w:tc>
          <w:tcPr>
            <w:tcW w:type="dxa" w:w="4176"/>
          </w:tcPr>
          <w:p>
            <w:r/>
            <w:r>
              <w:rPr>
                <w:b/>
                <w:sz w:val="20"/>
              </w:rPr>
              <w:t>Provides</w:t>
            </w:r>
          </w:p>
        </w:tc>
        <w:tc>
          <w:tcPr>
            <w:tcW w:type="dxa" w:w="2304"/>
          </w:tcPr>
          <w:p>
            <w:r/>
            <w:r>
              <w:rPr>
                <w:b/>
                <w:sz w:val="20"/>
              </w:rPr>
              <w:t>Territory</w:t>
            </w:r>
          </w:p>
        </w:tc>
      </w:tr>
      <w:tr>
        <w:tc>
          <w:tcPr>
            <w:tcW w:type="dxa" w:w="3312"/>
          </w:tcPr>
          <w:p>
            <w:r/>
            <w:r>
              <w:rPr>
                <w:sz w:val="19"/>
              </w:rPr>
              <w:t>data.gov.my / OpenDOSM</w:t>
            </w:r>
          </w:p>
        </w:tc>
        <w:tc>
          <w:tcPr>
            <w:tcW w:type="dxa" w:w="4176"/>
          </w:tcPr>
          <w:p>
            <w:r/>
            <w:r>
              <w:rPr>
                <w:sz w:val="19"/>
              </w:rPr>
              <w:t>State indicators</w:t>
            </w:r>
          </w:p>
        </w:tc>
        <w:tc>
          <w:tcPr>
            <w:tcW w:type="dxa" w:w="2304"/>
          </w:tcPr>
          <w:p>
            <w:r/>
            <w:r>
              <w:rPr>
                <w:sz w:val="19"/>
              </w:rPr>
              <w:t>Sabah, Sarawak</w:t>
            </w:r>
          </w:p>
        </w:tc>
      </w:tr>
      <w:tr>
        <w:tc>
          <w:tcPr>
            <w:tcW w:type="dxa" w:w="3312"/>
          </w:tcPr>
          <w:p>
            <w:r/>
            <w:r>
              <w:rPr>
                <w:sz w:val="19"/>
              </w:rPr>
              <w:t>World Bank</w:t>
            </w:r>
          </w:p>
        </w:tc>
        <w:tc>
          <w:tcPr>
            <w:tcW w:type="dxa" w:w="4176"/>
          </w:tcPr>
          <w:p>
            <w:r/>
            <w:r>
              <w:rPr>
                <w:sz w:val="19"/>
              </w:rPr>
              <w:t>National indicators, governance, renewables</w:t>
            </w:r>
          </w:p>
        </w:tc>
        <w:tc>
          <w:tcPr>
            <w:tcW w:type="dxa" w:w="2304"/>
          </w:tcPr>
          <w:p>
            <w:r/>
            <w:r>
              <w:rPr>
                <w:sz w:val="19"/>
              </w:rPr>
              <w:t>Brunei (+ all)</w:t>
            </w:r>
          </w:p>
        </w:tc>
      </w:tr>
      <w:tr>
        <w:tc>
          <w:tcPr>
            <w:tcW w:type="dxa" w:w="3312"/>
          </w:tcPr>
          <w:p>
            <w:r/>
            <w:r>
              <w:rPr>
                <w:sz w:val="19"/>
              </w:rPr>
              <w:t>UN SDG API</w:t>
            </w:r>
          </w:p>
        </w:tc>
        <w:tc>
          <w:tcPr>
            <w:tcW w:type="dxa" w:w="4176"/>
          </w:tcPr>
          <w:p>
            <w:r/>
            <w:r>
              <w:rPr>
                <w:sz w:val="19"/>
              </w:rPr>
              <w:t>SDG baseline</w:t>
            </w:r>
          </w:p>
        </w:tc>
        <w:tc>
          <w:tcPr>
            <w:tcW w:type="dxa" w:w="2304"/>
          </w:tcPr>
          <w:p>
            <w:r/>
            <w:r>
              <w:rPr>
                <w:sz w:val="19"/>
              </w:rPr>
              <w:t>All</w:t>
            </w:r>
          </w:p>
        </w:tc>
      </w:tr>
      <w:tr>
        <w:tc>
          <w:tcPr>
            <w:tcW w:type="dxa" w:w="3312"/>
          </w:tcPr>
          <w:p>
            <w:r/>
            <w:r>
              <w:rPr>
                <w:sz w:val="19"/>
              </w:rPr>
              <w:t>BPS Indonesia</w:t>
            </w:r>
          </w:p>
        </w:tc>
        <w:tc>
          <w:tcPr>
            <w:tcW w:type="dxa" w:w="4176"/>
          </w:tcPr>
          <w:p>
            <w:r/>
            <w:r>
              <w:rPr>
                <w:sz w:val="19"/>
              </w:rPr>
              <w:t>Province indicators</w:t>
            </w:r>
          </w:p>
        </w:tc>
        <w:tc>
          <w:tcPr>
            <w:tcW w:type="dxa" w:w="2304"/>
          </w:tcPr>
          <w:p>
            <w:r/>
            <w:r>
              <w:rPr>
                <w:sz w:val="19"/>
              </w:rPr>
              <w:t>Kalimantan (5 prov.)</w:t>
            </w:r>
          </w:p>
        </w:tc>
      </w:tr>
      <w:tr>
        <w:tc>
          <w:tcPr>
            <w:tcW w:type="dxa" w:w="3312"/>
          </w:tcPr>
          <w:p>
            <w:r/>
            <w:r>
              <w:rPr>
                <w:sz w:val="19"/>
              </w:rPr>
              <w:t>Global Forest Watch</w:t>
            </w:r>
          </w:p>
        </w:tc>
        <w:tc>
          <w:tcPr>
            <w:tcW w:type="dxa" w:w="4176"/>
          </w:tcPr>
          <w:p>
            <w:r/>
            <w:r>
              <w:rPr>
                <w:sz w:val="19"/>
              </w:rPr>
              <w:t>Forest cover/loss, fire alerts</w:t>
            </w:r>
          </w:p>
        </w:tc>
        <w:tc>
          <w:tcPr>
            <w:tcW w:type="dxa" w:w="2304"/>
          </w:tcPr>
          <w:p>
            <w:r/>
            <w:r>
              <w:rPr>
                <w:sz w:val="19"/>
              </w:rPr>
              <w:t>All</w:t>
            </w:r>
          </w:p>
        </w:tc>
      </w:tr>
      <w:tr>
        <w:tc>
          <w:tcPr>
            <w:tcW w:type="dxa" w:w="3312"/>
          </w:tcPr>
          <w:p>
            <w:r/>
            <w:r>
              <w:rPr>
                <w:sz w:val="19"/>
              </w:rPr>
              <w:t>NASA FIRMS</w:t>
            </w:r>
          </w:p>
        </w:tc>
        <w:tc>
          <w:tcPr>
            <w:tcW w:type="dxa" w:w="4176"/>
          </w:tcPr>
          <w:p>
            <w:r/>
            <w:r>
              <w:rPr>
                <w:sz w:val="19"/>
              </w:rPr>
              <w:t>Fire hotspots (backup)</w:t>
            </w:r>
          </w:p>
        </w:tc>
        <w:tc>
          <w:tcPr>
            <w:tcW w:type="dxa" w:w="2304"/>
          </w:tcPr>
          <w:p>
            <w:r/>
            <w:r>
              <w:rPr>
                <w:sz w:val="19"/>
              </w:rPr>
              <w:t>All</w:t>
            </w:r>
          </w:p>
        </w:tc>
      </w:tr>
      <w:tr>
        <w:tc>
          <w:tcPr>
            <w:tcW w:type="dxa" w:w="3312"/>
          </w:tcPr>
          <w:p>
            <w:r/>
            <w:r>
              <w:rPr>
                <w:sz w:val="19"/>
              </w:rPr>
              <w:t>WAQI / aqicn</w:t>
            </w:r>
          </w:p>
        </w:tc>
        <w:tc>
          <w:tcPr>
            <w:tcW w:type="dxa" w:w="4176"/>
          </w:tcPr>
          <w:p>
            <w:r/>
            <w:r>
              <w:rPr>
                <w:sz w:val="19"/>
              </w:rPr>
              <w:t>Live air quality</w:t>
            </w:r>
          </w:p>
        </w:tc>
        <w:tc>
          <w:tcPr>
            <w:tcW w:type="dxa" w:w="2304"/>
          </w:tcPr>
          <w:p>
            <w:r/>
            <w:r>
              <w:rPr>
                <w:sz w:val="19"/>
              </w:rPr>
              <w:t>Capital cities</w:t>
            </w:r>
          </w:p>
        </w:tc>
      </w:tr>
      <w:tr>
        <w:tc>
          <w:tcPr>
            <w:tcW w:type="dxa" w:w="3312"/>
          </w:tcPr>
          <w:p>
            <w:r/>
            <w:r>
              <w:rPr>
                <w:sz w:val="19"/>
              </w:rPr>
              <w:t>Manual layer (cited)</w:t>
            </w:r>
          </w:p>
        </w:tc>
        <w:tc>
          <w:tcPr>
            <w:tcW w:type="dxa" w:w="4176"/>
          </w:tcPr>
          <w:p>
            <w:r/>
            <w:r>
              <w:rPr>
                <w:sz w:val="19"/>
              </w:rPr>
              <w:t>Report-only figures, fully referenced</w:t>
            </w:r>
          </w:p>
        </w:tc>
        <w:tc>
          <w:tcPr>
            <w:tcW w:type="dxa" w:w="2304"/>
          </w:tcPr>
          <w:p>
            <w:r/>
            <w:r>
              <w:rPr>
                <w:sz w:val="19"/>
              </w:rPr>
              <w:t>As needed</w:t>
            </w:r>
          </w:p>
        </w:tc>
      </w:tr>
    </w:tbl>
    <w:p>
      <w:pPr>
        <w:pStyle w:val="Heading1"/>
      </w:pPr>
      <w:r>
        <w:rPr>
          <w:color w:val="1B7F4B"/>
        </w:rPr>
        <w:t>6.  What Was Collected</w:t>
      </w:r>
    </w:p>
    <w:p>
      <w:pPr>
        <w:spacing w:after="120"/>
      </w:pPr>
      <w:r>
        <w:rPr>
          <w:b w:val="0"/>
          <w:i w:val="0"/>
          <w:color w:val="1F2A37"/>
          <w:sz w:val="22"/>
        </w:rPr>
        <w:t>The database now holds 145 data rows across 32 indicators, four territories, and three frameworks. Coverage reaches all six Hexagon pillars, all three ESG categories, and eleven UN SDG goals (the original plan targeted six — this was exceeded).</w:t>
      </w:r>
    </w:p>
    <w:p>
      <w:pPr>
        <w:spacing w:after="80"/>
      </w:pPr>
      <w:r>
        <w:rPr>
          <w:b/>
          <w:i w:val="0"/>
          <w:color w:val="1F2A37"/>
          <w:sz w:val="22"/>
        </w:rPr>
        <w:t>Unified indicators, by territory (selected):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456"/>
          </w:tcPr>
          <w:p>
            <w:r/>
            <w:r>
              <w:rPr>
                <w:b/>
                <w:sz w:val="20"/>
              </w:rPr>
              <w:t>Indicator (metric)</w:t>
            </w:r>
          </w:p>
        </w:tc>
        <w:tc>
          <w:tcPr>
            <w:tcW w:type="dxa" w:w="1440"/>
          </w:tcPr>
          <w:p>
            <w:r/>
            <w:r>
              <w:rPr>
                <w:b/>
                <w:sz w:val="20"/>
              </w:rPr>
              <w:t>Sabah</w:t>
            </w:r>
          </w:p>
        </w:tc>
        <w:tc>
          <w:tcPr>
            <w:tcW w:type="dxa" w:w="1440"/>
          </w:tcPr>
          <w:p>
            <w:r/>
            <w:r>
              <w:rPr>
                <w:b/>
                <w:sz w:val="20"/>
              </w:rPr>
              <w:t>Sarawak</w:t>
            </w:r>
          </w:p>
        </w:tc>
        <w:tc>
          <w:tcPr>
            <w:tcW w:type="dxa" w:w="1440"/>
          </w:tcPr>
          <w:p>
            <w:r/>
            <w:r>
              <w:rPr>
                <w:b/>
                <w:sz w:val="20"/>
              </w:rPr>
              <w:t>Brunei</w:t>
            </w:r>
          </w:p>
        </w:tc>
        <w:tc>
          <w:tcPr>
            <w:tcW w:type="dxa" w:w="1728"/>
          </w:tcPr>
          <w:p>
            <w:r/>
            <w:r>
              <w:rPr>
                <w:b/>
                <w:sz w:val="20"/>
              </w:rPr>
              <w:t>Kalimantan</w:t>
            </w:r>
          </w:p>
        </w:tc>
      </w:tr>
      <w:tr>
        <w:tc>
          <w:tcPr>
            <w:tcW w:type="dxa" w:w="3456"/>
          </w:tcPr>
          <w:p>
            <w:r/>
            <w:r>
              <w:rPr>
                <w:sz w:val="19"/>
              </w:rPr>
              <w:t>Forest cover (million ha)</w:t>
            </w:r>
          </w:p>
        </w:tc>
        <w:tc>
          <w:tcPr>
            <w:tcW w:type="dxa" w:w="1440"/>
          </w:tcPr>
          <w:p>
            <w:r/>
            <w:r>
              <w:rPr>
                <w:sz w:val="19"/>
              </w:rPr>
              <w:t>6.7</w:t>
            </w:r>
          </w:p>
        </w:tc>
        <w:tc>
          <w:tcPr>
            <w:tcW w:type="dxa" w:w="1440"/>
          </w:tcPr>
          <w:p>
            <w:r/>
            <w:r>
              <w:rPr>
                <w:sz w:val="19"/>
              </w:rPr>
              <w:t>11.6</w:t>
            </w:r>
          </w:p>
        </w:tc>
        <w:tc>
          <w:tcPr>
            <w:tcW w:type="dxa" w:w="1440"/>
          </w:tcPr>
          <w:p>
            <w:r/>
            <w:r>
              <w:rPr>
                <w:sz w:val="19"/>
              </w:rPr>
              <w:t>0.5</w:t>
            </w:r>
          </w:p>
        </w:tc>
        <w:tc>
          <w:tcPr>
            <w:tcW w:type="dxa" w:w="1728"/>
          </w:tcPr>
          <w:p>
            <w:r/>
            <w:r>
              <w:rPr>
                <w:sz w:val="19"/>
              </w:rPr>
              <w:t>49.9</w:t>
            </w:r>
          </w:p>
        </w:tc>
      </w:tr>
      <w:tr>
        <w:tc>
          <w:tcPr>
            <w:tcW w:type="dxa" w:w="3456"/>
          </w:tcPr>
          <w:p>
            <w:r/>
            <w:r>
              <w:rPr>
                <w:sz w:val="19"/>
              </w:rPr>
              <w:t>Fire alerts (VIIRS, 2025)</w:t>
            </w:r>
          </w:p>
        </w:tc>
        <w:tc>
          <w:tcPr>
            <w:tcW w:type="dxa" w:w="1440"/>
          </w:tcPr>
          <w:p>
            <w:r/>
            <w:r>
              <w:rPr>
                <w:sz w:val="19"/>
              </w:rPr>
              <w:t>697</w:t>
            </w:r>
          </w:p>
        </w:tc>
        <w:tc>
          <w:tcPr>
            <w:tcW w:type="dxa" w:w="1440"/>
          </w:tcPr>
          <w:p>
            <w:r/>
            <w:r>
              <w:rPr>
                <w:sz w:val="19"/>
              </w:rPr>
              <w:t>3,326</w:t>
            </w:r>
          </w:p>
        </w:tc>
        <w:tc>
          <w:tcPr>
            <w:tcW w:type="dxa" w:w="1440"/>
          </w:tcPr>
          <w:p>
            <w:r/>
            <w:r>
              <w:rPr>
                <w:sz w:val="19"/>
              </w:rPr>
              <w:t>128</w:t>
            </w:r>
          </w:p>
        </w:tc>
        <w:tc>
          <w:tcPr>
            <w:tcW w:type="dxa" w:w="1728"/>
          </w:tcPr>
          <w:p>
            <w:r/>
            <w:r>
              <w:rPr>
                <w:sz w:val="19"/>
              </w:rPr>
              <w:t>27,652</w:t>
            </w:r>
          </w:p>
        </w:tc>
      </w:tr>
      <w:tr>
        <w:tc>
          <w:tcPr>
            <w:tcW w:type="dxa" w:w="3456"/>
          </w:tcPr>
          <w:p>
            <w:r/>
            <w:r>
              <w:rPr>
                <w:sz w:val="19"/>
              </w:rPr>
              <w:t>Air quality (AQI)</w:t>
            </w:r>
          </w:p>
        </w:tc>
        <w:tc>
          <w:tcPr>
            <w:tcW w:type="dxa" w:w="1440"/>
          </w:tcPr>
          <w:p>
            <w:r/>
            <w:r>
              <w:rPr>
                <w:sz w:val="19"/>
              </w:rPr>
              <w:t>38</w:t>
            </w:r>
          </w:p>
        </w:tc>
        <w:tc>
          <w:tcPr>
            <w:tcW w:type="dxa" w:w="1440"/>
          </w:tcPr>
          <w:p>
            <w:r/>
            <w:r>
              <w:rPr>
                <w:sz w:val="19"/>
              </w:rPr>
              <w:t>39</w:t>
            </w:r>
          </w:p>
        </w:tc>
        <w:tc>
          <w:tcPr>
            <w:tcW w:type="dxa" w:w="1440"/>
          </w:tcPr>
          <w:p>
            <w:r/>
            <w:r>
              <w:rPr>
                <w:sz w:val="19"/>
              </w:rPr>
              <w:t>7</w:t>
            </w:r>
          </w:p>
        </w:tc>
        <w:tc>
          <w:tcPr>
            <w:tcW w:type="dxa" w:w="1728"/>
          </w:tcPr>
          <w:p>
            <w:r/>
            <w:r>
              <w:rPr>
                <w:sz w:val="19"/>
              </w:rPr>
              <w:t>56</w:t>
            </w:r>
          </w:p>
        </w:tc>
      </w:tr>
      <w:tr>
        <w:tc>
          <w:tcPr>
            <w:tcW w:type="dxa" w:w="3456"/>
          </w:tcPr>
          <w:p>
            <w:r/>
            <w:r>
              <w:rPr>
                <w:sz w:val="19"/>
              </w:rPr>
              <w:t>Clean water access (%)</w:t>
            </w:r>
          </w:p>
        </w:tc>
        <w:tc>
          <w:tcPr>
            <w:tcW w:type="dxa" w:w="1440"/>
          </w:tcPr>
          <w:p>
            <w:r/>
            <w:r>
              <w:rPr>
                <w:sz w:val="19"/>
              </w:rPr>
              <w:t>80.5</w:t>
            </w:r>
          </w:p>
        </w:tc>
        <w:tc>
          <w:tcPr>
            <w:tcW w:type="dxa" w:w="1440"/>
          </w:tcPr>
          <w:p>
            <w:r/>
            <w:r>
              <w:rPr>
                <w:sz w:val="19"/>
              </w:rPr>
              <w:t>83.7</w:t>
            </w:r>
          </w:p>
        </w:tc>
        <w:tc>
          <w:tcPr>
            <w:tcW w:type="dxa" w:w="1440"/>
          </w:tcPr>
          <w:p>
            <w:r/>
            <w:r>
              <w:rPr>
                <w:sz w:val="19"/>
              </w:rPr>
              <w:t>100</w:t>
            </w:r>
          </w:p>
        </w:tc>
        <w:tc>
          <w:tcPr>
            <w:tcW w:type="dxa" w:w="1728"/>
          </w:tcPr>
          <w:p>
            <w:r/>
            <w:r>
              <w:rPr>
                <w:sz w:val="19"/>
              </w:rPr>
              <w:t>89.4</w:t>
            </w:r>
          </w:p>
        </w:tc>
      </w:tr>
      <w:tr>
        <w:tc>
          <w:tcPr>
            <w:tcW w:type="dxa" w:w="3456"/>
          </w:tcPr>
          <w:p>
            <w:r/>
            <w:r>
              <w:rPr>
                <w:sz w:val="19"/>
              </w:rPr>
              <w:t>Unemployment (%)</w:t>
            </w:r>
          </w:p>
        </w:tc>
        <w:tc>
          <w:tcPr>
            <w:tcW w:type="dxa" w:w="1440"/>
          </w:tcPr>
          <w:p>
            <w:r/>
            <w:r>
              <w:rPr>
                <w:sz w:val="19"/>
              </w:rPr>
              <w:t>5.7</w:t>
            </w:r>
          </w:p>
        </w:tc>
        <w:tc>
          <w:tcPr>
            <w:tcW w:type="dxa" w:w="1440"/>
          </w:tcPr>
          <w:p>
            <w:r/>
            <w:r>
              <w:rPr>
                <w:sz w:val="19"/>
              </w:rPr>
              <w:t>3.1</w:t>
            </w:r>
          </w:p>
        </w:tc>
        <w:tc>
          <w:tcPr>
            <w:tcW w:type="dxa" w:w="1440"/>
          </w:tcPr>
          <w:p>
            <w:r/>
            <w:r>
              <w:rPr>
                <w:sz w:val="19"/>
              </w:rPr>
              <w:t>5.3</w:t>
            </w:r>
          </w:p>
        </w:tc>
        <w:tc>
          <w:tcPr>
            <w:tcW w:type="dxa" w:w="1728"/>
          </w:tcPr>
          <w:p>
            <w:r/>
            <w:r>
              <w:rPr>
                <w:sz w:val="19"/>
              </w:rPr>
              <w:t>4.3</w:t>
            </w:r>
          </w:p>
        </w:tc>
      </w:tr>
      <w:tr>
        <w:tc>
          <w:tcPr>
            <w:tcW w:type="dxa" w:w="3456"/>
          </w:tcPr>
          <w:p>
            <w:r/>
            <w:r>
              <w:rPr>
                <w:sz w:val="19"/>
              </w:rPr>
              <w:t>GDP growth (%)</w:t>
            </w:r>
          </w:p>
        </w:tc>
        <w:tc>
          <w:tcPr>
            <w:tcW w:type="dxa" w:w="1440"/>
          </w:tcPr>
          <w:p>
            <w:r/>
            <w:r>
              <w:rPr>
                <w:sz w:val="19"/>
              </w:rPr>
              <w:t>1.3</w:t>
            </w:r>
          </w:p>
        </w:tc>
        <w:tc>
          <w:tcPr>
            <w:tcW w:type="dxa" w:w="1440"/>
          </w:tcPr>
          <w:p>
            <w:r/>
            <w:r>
              <w:rPr>
                <w:sz w:val="19"/>
              </w:rPr>
              <w:t>1.2</w:t>
            </w:r>
          </w:p>
        </w:tc>
        <w:tc>
          <w:tcPr>
            <w:tcW w:type="dxa" w:w="1440"/>
          </w:tcPr>
          <w:p>
            <w:r/>
            <w:r>
              <w:rPr>
                <w:sz w:val="19"/>
              </w:rPr>
              <w:t>4.1</w:t>
            </w:r>
          </w:p>
        </w:tc>
        <w:tc>
          <w:tcPr>
            <w:tcW w:type="dxa" w:w="1728"/>
          </w:tcPr>
          <w:p>
            <w:r/>
            <w:r>
              <w:rPr>
                <w:sz w:val="19"/>
              </w:rPr>
              <w:t>4.5</w:t>
            </w:r>
          </w:p>
        </w:tc>
      </w:tr>
      <w:tr>
        <w:tc>
          <w:tcPr>
            <w:tcW w:type="dxa" w:w="3456"/>
          </w:tcPr>
          <w:p>
            <w:r/>
            <w:r>
              <w:rPr>
                <w:sz w:val="19"/>
              </w:rPr>
              <w:t>Life expectancy (years)</w:t>
            </w:r>
          </w:p>
        </w:tc>
        <w:tc>
          <w:tcPr>
            <w:tcW w:type="dxa" w:w="1440"/>
          </w:tcPr>
          <w:p>
            <w:r/>
            <w:r>
              <w:rPr>
                <w:sz w:val="19"/>
              </w:rPr>
              <w:t>75.3</w:t>
            </w:r>
          </w:p>
        </w:tc>
        <w:tc>
          <w:tcPr>
            <w:tcW w:type="dxa" w:w="1440"/>
          </w:tcPr>
          <w:p>
            <w:r/>
            <w:r>
              <w:rPr>
                <w:sz w:val="19"/>
              </w:rPr>
              <w:t>75.4</w:t>
            </w:r>
          </w:p>
        </w:tc>
        <w:tc>
          <w:tcPr>
            <w:tcW w:type="dxa" w:w="1440"/>
          </w:tcPr>
          <w:p>
            <w:r/>
            <w:r>
              <w:rPr>
                <w:sz w:val="19"/>
              </w:rPr>
              <w:t>75.5</w:t>
            </w:r>
          </w:p>
        </w:tc>
        <w:tc>
          <w:tcPr>
            <w:tcW w:type="dxa" w:w="1728"/>
          </w:tcPr>
          <w:p>
            <w:r/>
            <w:r>
              <w:rPr>
                <w:sz w:val="19"/>
              </w:rPr>
              <w:t>72.3</w:t>
            </w:r>
          </w:p>
        </w:tc>
      </w:tr>
      <w:tr>
        <w:tc>
          <w:tcPr>
            <w:tcW w:type="dxa" w:w="3456"/>
          </w:tcPr>
          <w:p>
            <w:r/>
            <w:r>
              <w:rPr>
                <w:sz w:val="19"/>
              </w:rPr>
              <w:t>Mean years schooling</w:t>
            </w:r>
          </w:p>
        </w:tc>
        <w:tc>
          <w:tcPr>
            <w:tcW w:type="dxa" w:w="1440"/>
          </w:tcPr>
          <w:p>
            <w:r/>
            <w:r>
              <w:rPr>
                <w:sz w:val="19"/>
              </w:rPr>
              <w:t>8.7</w:t>
            </w:r>
          </w:p>
        </w:tc>
        <w:tc>
          <w:tcPr>
            <w:tcW w:type="dxa" w:w="1440"/>
          </w:tcPr>
          <w:p>
            <w:r/>
            <w:r>
              <w:rPr>
                <w:sz w:val="19"/>
              </w:rPr>
              <w:t>8.7</w:t>
            </w:r>
          </w:p>
        </w:tc>
        <w:tc>
          <w:tcPr>
            <w:tcW w:type="dxa" w:w="1440"/>
          </w:tcPr>
          <w:p>
            <w:r/>
            <w:r>
              <w:rPr>
                <w:sz w:val="19"/>
              </w:rPr>
              <w:t>9.3</w:t>
            </w:r>
          </w:p>
        </w:tc>
        <w:tc>
          <w:tcPr>
            <w:tcW w:type="dxa" w:w="1728"/>
          </w:tcPr>
          <w:p>
            <w:r/>
            <w:r>
              <w:rPr>
                <w:sz w:val="19"/>
              </w:rPr>
              <w:t>9.1</w:t>
            </w:r>
          </w:p>
        </w:tc>
      </w:tr>
      <w:tr>
        <w:tc>
          <w:tcPr>
            <w:tcW w:type="dxa" w:w="3456"/>
          </w:tcPr>
          <w:p>
            <w:r/>
            <w:r>
              <w:rPr>
                <w:sz w:val="19"/>
              </w:rPr>
              <w:t>Governance (WGI score)</w:t>
            </w:r>
          </w:p>
        </w:tc>
        <w:tc>
          <w:tcPr>
            <w:tcW w:type="dxa" w:w="1440"/>
          </w:tcPr>
          <w:p>
            <w:r/>
            <w:r>
              <w:rPr>
                <w:sz w:val="19"/>
              </w:rPr>
              <w:t>57.9</w:t>
            </w:r>
          </w:p>
        </w:tc>
        <w:tc>
          <w:tcPr>
            <w:tcW w:type="dxa" w:w="1440"/>
          </w:tcPr>
          <w:p>
            <w:r/>
            <w:r>
              <w:rPr>
                <w:sz w:val="19"/>
              </w:rPr>
              <w:t>57.9</w:t>
            </w:r>
          </w:p>
        </w:tc>
        <w:tc>
          <w:tcPr>
            <w:tcW w:type="dxa" w:w="1440"/>
          </w:tcPr>
          <w:p>
            <w:r/>
            <w:r>
              <w:rPr>
                <w:sz w:val="19"/>
              </w:rPr>
              <w:t>71.9</w:t>
            </w:r>
          </w:p>
        </w:tc>
        <w:tc>
          <w:tcPr>
            <w:tcW w:type="dxa" w:w="1728"/>
          </w:tcPr>
          <w:p>
            <w:r/>
            <w:r>
              <w:rPr>
                <w:sz w:val="19"/>
              </w:rPr>
              <w:t>36.8</w:t>
            </w:r>
          </w:p>
        </w:tc>
      </w:tr>
      <w:tr>
        <w:tc>
          <w:tcPr>
            <w:tcW w:type="dxa" w:w="3456"/>
          </w:tcPr>
          <w:p>
            <w:r/>
            <w:r>
              <w:rPr>
                <w:sz w:val="19"/>
              </w:rPr>
              <w:t>Paddy production (tonnes)</w:t>
            </w:r>
          </w:p>
        </w:tc>
        <w:tc>
          <w:tcPr>
            <w:tcW w:type="dxa" w:w="1440"/>
          </w:tcPr>
          <w:p>
            <w:r/>
            <w:r>
              <w:rPr>
                <w:sz w:val="19"/>
              </w:rPr>
              <w:t>107,565</w:t>
            </w:r>
          </w:p>
        </w:tc>
        <w:tc>
          <w:tcPr>
            <w:tcW w:type="dxa" w:w="1440"/>
          </w:tcPr>
          <w:p>
            <w:r/>
            <w:r>
              <w:rPr>
                <w:sz w:val="19"/>
              </w:rPr>
              <w:t>147,272</w:t>
            </w:r>
          </w:p>
        </w:tc>
        <w:tc>
          <w:tcPr>
            <w:tcW w:type="dxa" w:w="1440"/>
          </w:tcPr>
          <w:p>
            <w:r/>
            <w:r>
              <w:rPr>
                <w:sz w:val="19"/>
              </w:rPr>
              <w:t>3,700</w:t>
            </w:r>
          </w:p>
        </w:tc>
        <w:tc>
          <w:tcPr>
            <w:tcW w:type="dxa" w:w="1728"/>
          </w:tcPr>
          <w:p>
            <w:r/>
            <w:r>
              <w:rPr>
                <w:sz w:val="19"/>
              </w:rPr>
              <w:t>1.62 M</w:t>
            </w:r>
          </w:p>
        </w:tc>
      </w:tr>
      <w:tr>
        <w:tc>
          <w:tcPr>
            <w:tcW w:type="dxa" w:w="3456"/>
          </w:tcPr>
          <w:p>
            <w:r/>
            <w:r>
              <w:rPr>
                <w:sz w:val="19"/>
              </w:rPr>
              <w:t>Households</w:t>
            </w:r>
          </w:p>
        </w:tc>
        <w:tc>
          <w:tcPr>
            <w:tcW w:type="dxa" w:w="1440"/>
          </w:tcPr>
          <w:p>
            <w:r/>
            <w:r>
              <w:rPr>
                <w:sz w:val="19"/>
              </w:rPr>
              <w:t>806,300</w:t>
            </w:r>
          </w:p>
        </w:tc>
        <w:tc>
          <w:tcPr>
            <w:tcW w:type="dxa" w:w="1440"/>
          </w:tcPr>
          <w:p>
            <w:r/>
            <w:r>
              <w:rPr>
                <w:sz w:val="19"/>
              </w:rPr>
              <w:t>656,300</w:t>
            </w:r>
          </w:p>
        </w:tc>
        <w:tc>
          <w:tcPr>
            <w:tcW w:type="dxa" w:w="1440"/>
          </w:tcPr>
          <w:p>
            <w:r/>
            <w:r>
              <w:rPr>
                <w:sz w:val="19"/>
              </w:rPr>
              <w:t>87,137</w:t>
            </w:r>
          </w:p>
        </w:tc>
        <w:tc>
          <w:tcPr>
            <w:tcW w:type="dxa" w:w="1728"/>
          </w:tcPr>
          <w:p>
            <w:r/>
            <w:r>
              <w:rPr>
                <w:sz w:val="19"/>
              </w:rPr>
              <w:t>1.63 M</w:t>
            </w:r>
          </w:p>
        </w:tc>
      </w:tr>
      <w:tr>
        <w:tc>
          <w:tcPr>
            <w:tcW w:type="dxa" w:w="3456"/>
          </w:tcPr>
          <w:p>
            <w:r/>
            <w:r>
              <w:rPr>
                <w:sz w:val="19"/>
              </w:rPr>
              <w:t>Visitor arrivals (2024)</w:t>
            </w:r>
          </w:p>
        </w:tc>
        <w:tc>
          <w:tcPr>
            <w:tcW w:type="dxa" w:w="1440"/>
          </w:tcPr>
          <w:p>
            <w:r/>
            <w:r>
              <w:rPr>
                <w:sz w:val="19"/>
              </w:rPr>
              <w:t>3.2 M</w:t>
            </w:r>
          </w:p>
        </w:tc>
        <w:tc>
          <w:tcPr>
            <w:tcW w:type="dxa" w:w="1440"/>
          </w:tcPr>
          <w:p>
            <w:r/>
            <w:r>
              <w:rPr>
                <w:sz w:val="19"/>
              </w:rPr>
              <w:t>4.83 M</w:t>
            </w:r>
          </w:p>
        </w:tc>
        <w:tc>
          <w:tcPr>
            <w:tcW w:type="dxa" w:w="1440"/>
          </w:tcPr>
          <w:p>
            <w:r/>
            <w:r>
              <w:rPr>
                <w:sz w:val="19"/>
              </w:rPr>
              <w:t>678,037</w:t>
            </w:r>
          </w:p>
        </w:tc>
        <w:tc>
          <w:tcPr>
            <w:tcW w:type="dxa" w:w="1728"/>
          </w:tcPr>
          <w:p>
            <w:r/>
            <w:r>
              <w:rPr>
                <w:sz w:val="19"/>
              </w:rPr>
              <w:t>4.74 M*</w:t>
            </w:r>
          </w:p>
        </w:tc>
      </w:tr>
    </w:tbl>
    <w:p>
      <w:pPr>
        <w:spacing w:after="120"/>
      </w:pPr>
      <w:r>
        <w:rPr>
          <w:b w:val="0"/>
          <w:i/>
          <w:color w:val="555F6B"/>
          <w:sz w:val="19"/>
        </w:rPr>
        <w:t>* Kalimantan tourism is measured as domestic trips; the other three as visitor arrivals — comparable in scale, slightly different in definition (documented).</w:t>
      </w:r>
    </w:p>
    <w:p>
      <w:pPr>
        <w:pStyle w:val="Heading1"/>
      </w:pPr>
      <w:r>
        <w:rPr>
          <w:color w:val="1B7F4B"/>
        </w:rPr>
        <w:t>7.  Engineering Challenges Solved</w:t>
      </w:r>
    </w:p>
    <w:p>
      <w:pPr>
        <w:pStyle w:val="ListBullet"/>
      </w:pPr>
      <w:r>
        <w:rPr>
          <w:b/>
        </w:rPr>
        <w:t>BPS Indonesia:</w:t>
      </w:r>
      <w:r>
        <w:t xml:space="preserve"> the Indonesian statistics API blocks automated access, numbers its variables differently per province, and silently dropped data under load — solved with a verified variable-ID map and retry logic.</w:t>
      </w:r>
    </w:p>
    <w:p>
      <w:pPr>
        <w:pStyle w:val="ListBullet"/>
      </w:pPr>
      <w:r>
        <w:rPr>
          <w:b/>
        </w:rPr>
        <w:t>Global Forest Watch:</w:t>
      </w:r>
      <w:r>
        <w:t xml:space="preserve"> the forest platform sits behind a firewall — solved with a custom request method and a fixed canopy threshold so totals are not inflated.</w:t>
      </w:r>
    </w:p>
    <w:p>
      <w:pPr>
        <w:pStyle w:val="ListBullet"/>
      </w:pPr>
      <w:r>
        <w:rPr>
          <w:b/>
        </w:rPr>
        <w:t>Fire data:</w:t>
      </w:r>
      <w:r>
        <w:t xml:space="preserve"> the NASA fire service was frequently offline — switched to satellite fire alerts via Global Forest Watch, which work independently of it.</w:t>
      </w:r>
    </w:p>
    <w:p>
      <w:pPr>
        <w:pStyle w:val="ListBullet"/>
      </w:pPr>
      <w:r>
        <w:rPr>
          <w:b/>
        </w:rPr>
        <w:t>Kalimantan:</w:t>
      </w:r>
      <w:r>
        <w:t xml:space="preserve"> five provinces are rolled up into one figure (sum for counts, average for rates), while each province is also kept and the method is labelled.</w:t>
      </w:r>
    </w:p>
    <w:p>
      <w:pPr>
        <w:pStyle w:val="Heading1"/>
      </w:pPr>
      <w:r>
        <w:rPr>
          <w:color w:val="1B7F4B"/>
        </w:rPr>
        <w:t>8.  Data Integrity</w:t>
      </w:r>
    </w:p>
    <w:p>
      <w:pPr>
        <w:spacing w:after="120"/>
      </w:pPr>
      <w:r>
        <w:rPr>
          <w:b w:val="0"/>
          <w:i w:val="0"/>
          <w:color w:val="1F2A37"/>
          <w:sz w:val="22"/>
        </w:rPr>
        <w:t>Because this is a real-world public tool, the guiding rule is simple: no fabricated data, ever. Three safeguards make every figure trustworthy and auditable:</w:t>
      </w:r>
    </w:p>
    <w:p>
      <w:pPr>
        <w:pStyle w:val="ListBullet"/>
      </w:pPr>
      <w:r>
        <w:rPr>
          <w:b/>
        </w:rPr>
        <w:t>Confidence labels:</w:t>
      </w:r>
      <w:r>
        <w:t xml:space="preserve"> every value is tagged High (exact live data), Medium (a national figure applied to a territory, or a province average), or Manual (taken from a cited report).</w:t>
      </w:r>
    </w:p>
    <w:p>
      <w:pPr>
        <w:pStyle w:val="ListBullet"/>
      </w:pPr>
      <w:r>
        <w:rPr>
          <w:b/>
        </w:rPr>
        <w:t>Cited manual layer:</w:t>
      </w:r>
      <w:r>
        <w:t xml:space="preserve"> report-only figures are stored with their source, link, page and retrieval date, so any reviewer can verify them.</w:t>
      </w:r>
    </w:p>
    <w:p>
      <w:pPr>
        <w:pStyle w:val="ListBullet"/>
      </w:pPr>
      <w:r>
        <w:rPr>
          <w:b/>
        </w:rPr>
        <w:t>Honest gaps:</w:t>
      </w:r>
      <w:r>
        <w:t xml:space="preserve"> where data genuinely does not exist, the cell is left blank and the reason is documented — it is never estimated or filled with a guess.</w:t>
      </w:r>
    </w:p>
    <w:p>
      <w:pPr>
        <w:spacing w:after="120"/>
      </w:pPr>
      <w:r>
        <w:rPr>
          <w:b/>
          <w:i w:val="0"/>
          <w:color w:val="1F2A37"/>
          <w:sz w:val="22"/>
        </w:rPr>
        <w:t>Current confidence breakdown: 109 High, 18 Medium, 18 Manual.</w:t>
      </w:r>
    </w:p>
    <w:p>
      <w:pPr>
        <w:pStyle w:val="Heading1"/>
      </w:pPr>
      <w:r>
        <w:rPr>
          <w:color w:val="1B7F4B"/>
        </w:rPr>
        <w:t>9.  Making Territories Comparable</w:t>
      </w:r>
    </w:p>
    <w:p>
      <w:pPr>
        <w:spacing w:after="120"/>
      </w:pPr>
      <w:r>
        <w:rPr>
          <w:b w:val="0"/>
          <w:i w:val="0"/>
          <w:color w:val="1F2A37"/>
          <w:sz w:val="22"/>
        </w:rPr>
        <w:t>Each agency publishes the same concept using a different metric — for example, healthcare as hospital beds in one country and life expectancy in another. To make the four territories genuinely comparable, a single unified metric was chosen for each concept (such as life expectancy, mean years of schooling, and GDP growth), with the others kept for reference.</w:t>
      </w:r>
    </w:p>
    <w:p>
      <w:pPr>
        <w:pStyle w:val="Heading1"/>
      </w:pPr>
      <w:r>
        <w:rPr>
          <w:color w:val="1B7F4B"/>
        </w:rPr>
        <w:t>10.  Honest Limitations</w:t>
      </w:r>
    </w:p>
    <w:p>
      <w:pPr>
        <w:spacing w:after="120"/>
      </w:pPr>
      <w:r>
        <w:rPr>
          <w:b w:val="0"/>
          <w:i w:val="0"/>
          <w:color w:val="1F2A37"/>
          <w:sz w:val="22"/>
        </w:rPr>
        <w:t>Two genuine data gaps remain because the source countries do not publish the figures: Brunei’s income-poverty rate (a high-income economy) and Sabah’s statewide electrification percentage. A few further indicators — flood risk, road length, and food self-sufficiency — exist only as event records, national totals, or outdated figures, so they are deferred until comparable data is available. These limits are inherent to the region and are documented rather than hidden.</w:t>
      </w:r>
    </w:p>
    <w:p>
      <w:pPr>
        <w:pStyle w:val="Heading1"/>
      </w:pPr>
      <w:r>
        <w:rPr>
          <w:color w:val="1B7F4B"/>
        </w:rPr>
        <w:t>11.  Current Status &amp; Next Steps</w:t>
      </w:r>
    </w:p>
    <w:p>
      <w:pPr>
        <w:spacing w:after="120"/>
      </w:pPr>
      <w:r>
        <w:rPr>
          <w:b w:val="0"/>
          <w:i w:val="0"/>
          <w:color w:val="1F2A37"/>
          <w:sz w:val="22"/>
        </w:rPr>
        <w:t>Completed: data sourcing, the automated pipeline, the standardised database, cross-territory consistency, and full documentation. The dashboard interface (map, scorecards, trend and radar charts) is built and currently being connected to the live database.</w:t>
      </w:r>
    </w:p>
    <w:p>
      <w:pPr>
        <w:spacing w:after="80"/>
      </w:pPr>
      <w:r>
        <w:rPr>
          <w:b/>
          <w:i w:val="0"/>
          <w:color w:val="1F2A37"/>
          <w:sz w:val="22"/>
        </w:rPr>
        <w:t>Next steps:</w:t>
      </w:r>
    </w:p>
    <w:p>
      <w:pPr>
        <w:pStyle w:val="ListBullet"/>
      </w:pPr>
      <w:r>
        <w:rPr>
          <w:b/>
        </w:rPr>
        <w:t>Resilience scoring:</w:t>
      </w:r>
      <w:r>
        <w:t xml:space="preserve"> compute the 0–100 Resilience Index per pillar and territory from the methodology.</w:t>
      </w:r>
    </w:p>
    <w:p>
      <w:pPr>
        <w:pStyle w:val="ListBullet"/>
      </w:pPr>
      <w:r>
        <w:rPr>
          <w:b/>
        </w:rPr>
        <w:t>Live data wiring:</w:t>
      </w:r>
      <w:r>
        <w:t xml:space="preserve"> replace the interface’s sample values with the live database.</w:t>
      </w:r>
    </w:p>
    <w:p>
      <w:pPr>
        <w:pStyle w:val="ListBullet"/>
      </w:pPr>
      <w:r>
        <w:rPr>
          <w:b/>
        </w:rPr>
        <w:t>Historical trends:</w:t>
      </w:r>
      <w:r>
        <w:t xml:space="preserve"> store yearly history so the dashboard can show whether each territory is improving or declining over time.</w:t>
      </w:r>
    </w:p>
    <w:p/>
    <w:p>
      <w:pPr>
        <w:jc w:val="center"/>
      </w:pPr>
      <w:r>
        <w:rPr>
          <w:i/>
          <w:color w:val="1B7F4B"/>
          <w:sz w:val="23"/>
        </w:rPr>
        <w:t>A trustworthy data foundation for Borneo — real, cited, comparable, and honest about its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