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ascii="Arial" w:hAnsi="Arial"/>
          <w:b/>
          <w:color w:val="000000"/>
          <w:sz w:val="80"/>
        </w:rPr>
        <w:t>Borneo Tracker Wave 3 Development Report</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 w:type="dxa"/>
              <w:left w:w="0.0" w:type="dxa"/>
              <w:bottom w:w="0" w:type="dxa"/>
              <w:right w:w="0.0" w:type="dxa"/>
              <w:start w:w="0" w:type="dxa"/>
              <w:end w:w="0" w:type="dxa"/>
            </w:tcMar>
          </w:tcPr>
          <w:p>
            <w:pPr>
              <w:spacing w:after="0" w:line="252" w:lineRule="auto"/>
            </w:pPr>
            <w:r>
              <w:rPr>
                <w:rFonts w:ascii="Arial" w:hAnsi="Arial"/>
                <w:color w:val="4D4D4D"/>
                <w:sz w:val="19"/>
              </w:rPr>
              <w:t>Wave 3 bug fixes front end improvements and validation evidence</w:t>
            </w:r>
          </w:p>
        </w:tc>
        <w:tc>
          <w:tcPr>
            <w:tcMar>
              <w:top w:w="0" w:type="dxa"/>
              <w:left w:w="0.0" w:type="dxa"/>
              <w:bottom w:w="0" w:type="dxa"/>
              <w:right w:w="0.0" w:type="dxa"/>
              <w:start w:w="0" w:type="dxa"/>
              <w:end w:w="0" w:type="dxa"/>
            </w:tcMar>
          </w:tcPr>
          <w:p>
            <w:pPr>
              <w:spacing w:after="0" w:line="252" w:lineRule="auto"/>
            </w:pPr>
            <w:r>
              <w:rPr>
                <w:rFonts w:ascii="Arial" w:hAnsi="Arial"/>
                <w:color w:val="4D4D4D"/>
                <w:sz w:val="19"/>
              </w:rPr>
            </w:r>
          </w:p>
        </w:tc>
        <w:tc>
          <w:tcPr>
            <w:tcMar>
              <w:top w:w="0" w:type="dxa"/>
              <w:left w:w="0.0" w:type="dxa"/>
              <w:bottom w:w="0" w:type="dxa"/>
              <w:right w:w="0.0" w:type="dxa"/>
              <w:start w:w="0" w:type="dxa"/>
              <w:end w:w="0" w:type="dxa"/>
            </w:tcMar>
          </w:tcPr>
          <w:p>
            <w:pPr>
              <w:spacing w:after="0" w:line="252" w:lineRule="auto"/>
            </w:pPr>
            <w:r>
              <w:rPr>
                <w:rFonts w:ascii="Arial" w:hAnsi="Arial"/>
                <w:color w:val="4D4D4D"/>
                <w:sz w:val="19"/>
              </w:rPr>
              <w:t>Prepared by Borneo Tracker Development Team</w:t>
              <w:br/>
              <w:t>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pPr>
        <w:pStyle w:val="Heading1"/>
        <w:keepNext/>
      </w:pPr>
      <w:r>
        <w:rPr>
          <w:rFonts w:ascii="Arial" w:hAnsi="Arial"/>
          <w:b w:val="0"/>
          <w:color w:val="000000"/>
          <w:sz w:val="48"/>
        </w:rPr>
        <w:t>Executive Summary</w:t>
      </w:r>
    </w:p>
    <w:p>
      <w:pPr>
        <w:keepLines/>
        <w:spacing w:after="120" w:line="271" w:lineRule="auto"/>
      </w:pPr>
      <w:r>
        <w:rPr>
          <w:rFonts w:ascii="Arial" w:hAnsi="Arial"/>
          <w:color w:val="000000"/>
          <w:sz w:val="21"/>
        </w:rPr>
        <w:t>Wave 3 converted the 15 August client review into twelve completed delivery cards covering momentum, pillar drill-down, decision framing, source transparency, bilingual quality controls, and test coverage. The work improved how users interpret the Resilience Index without changing the scoring methodology or inventing missing data. The strongest contribution is to the Data and Ethics layers of the ABCDE Framework: the interface now exposes source provenance, distinguishes missing data from poor performance, and prevents method changes from being presented as real-world improvement or decline.</w:t>
      </w:r>
    </w:p>
    <w:p>
      <w:pPr>
        <w:keepLines/>
        <w:spacing w:after="120" w:line="271" w:lineRule="auto"/>
      </w:pPr>
      <w:r>
        <w:rPr>
          <w:rFonts w:ascii="Arial" w:hAnsi="Arial"/>
          <w:color w:val="000000"/>
          <w:sz w:val="21"/>
        </w:rPr>
        <w:t>The recorded Wave 3 delivery passed 1,012 frontend tests across 63 test files and 130 Python tests. A current repository rerun on 4 September 2026 passed 1,062 of 1,066 frontend tests; four AI-chat tests now expect a different warning code than the implementation returns. That current mismatch is separate from the Wave 3 user-interface work, but the branch should not be described as fully green until it is resolved.</w:t>
      </w:r>
    </w:p>
    <w:p>
      <w:pPr>
        <w:pStyle w:val="Heading2"/>
        <w:keepNext/>
      </w:pPr>
      <w:r>
        <w:rPr>
          <w:rFonts w:ascii="Arial" w:hAnsi="Arial"/>
          <w:b w:val="0"/>
          <w:color w:val="000000"/>
          <w:sz w:val="30"/>
        </w:rPr>
        <w:t>At a Glance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232"/>
            <w:vAlign w:val="center"/>
            <w:tcMar>
              <w:top w:w="110" w:type="dxa"/>
              <w:start w:w="120" w:type="dxa"/>
              <w:bottom w:w="110" w:type="dxa"/>
              <w:end w:w="120" w:type="dxa"/>
            </w:tcMar>
            <w:shd w:fill="17324D"/>
          </w:tcPr>
          <w:p>
            <w:pPr>
              <w:spacing w:after="0" w:line="252" w:lineRule="auto"/>
            </w:pPr>
            <w:r>
              <w:rPr>
                <w:rFonts w:ascii="Arial" w:hAnsi="Arial"/>
                <w:b/>
                <w:color w:val="FFFFFF"/>
                <w:sz w:val="18"/>
              </w:rPr>
              <w:t>Workstream</w:t>
            </w:r>
          </w:p>
        </w:tc>
        <w:tc>
          <w:tcPr>
            <w:tcW w:type="dxa" w:w="1800"/>
            <w:vAlign w:val="center"/>
            <w:tcMar>
              <w:top w:w="110" w:type="dxa"/>
              <w:start w:w="120" w:type="dxa"/>
              <w:bottom w:w="110" w:type="dxa"/>
              <w:end w:w="120" w:type="dxa"/>
            </w:tcMar>
            <w:shd w:fill="17324D"/>
          </w:tcPr>
          <w:p>
            <w:pPr>
              <w:spacing w:after="0" w:line="252" w:lineRule="auto"/>
            </w:pPr>
            <w:r>
              <w:rPr>
                <w:rFonts w:ascii="Arial" w:hAnsi="Arial"/>
                <w:b/>
                <w:color w:val="FFFFFF"/>
                <w:sz w:val="18"/>
              </w:rPr>
              <w:t>Completed tickets</w:t>
            </w:r>
          </w:p>
        </w:tc>
        <w:tc>
          <w:tcPr>
            <w:tcW w:type="dxa" w:w="5328"/>
            <w:vAlign w:val="center"/>
            <w:tcMar>
              <w:top w:w="110" w:type="dxa"/>
              <w:start w:w="120" w:type="dxa"/>
              <w:bottom w:w="110" w:type="dxa"/>
              <w:end w:w="120" w:type="dxa"/>
            </w:tcMar>
            <w:shd w:fill="17324D"/>
          </w:tcPr>
          <w:p>
            <w:pPr>
              <w:spacing w:after="0" w:line="252" w:lineRule="auto"/>
            </w:pPr>
            <w:r>
              <w:rPr>
                <w:rFonts w:ascii="Arial" w:hAnsi="Arial"/>
                <w:b/>
                <w:color w:val="FFFFFF"/>
                <w:sz w:val="18"/>
              </w:rPr>
              <w:t>Outcome</w:t>
            </w:r>
          </w:p>
        </w:tc>
      </w:tr>
      <w:tr>
        <w:tc>
          <w:tcPr>
            <w:tcW w:type="dxa" w:w="223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Language and positioning</w:t>
            </w:r>
          </w:p>
        </w:tc>
        <w:tc>
          <w:tcPr>
            <w:tcW w:type="dxa" w:w="180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BT-25 BT-24</w:t>
            </w:r>
          </w:p>
        </w:tc>
        <w:tc>
          <w:tcPr>
            <w:tcW w:type="dxa" w:w="53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Plural-aware English and Malay parity checks plus a consistent platform tagline.</w:t>
            </w:r>
          </w:p>
        </w:tc>
      </w:tr>
      <w:tr>
        <w:tc>
          <w:tcPr>
            <w:tcW w:type="dxa" w:w="2232"/>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Exploration and accessibility</w:t>
            </w:r>
          </w:p>
        </w:tc>
        <w:tc>
          <w:tcPr>
            <w:tcW w:type="dxa" w:w="180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BT-14 BT-12</w:t>
            </w:r>
          </w:p>
        </w:tc>
        <w:tc>
          <w:tcPr>
            <w:tcW w:type="dxa" w:w="532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Search hands non-place questions to BorneoBot and the radar supports mouse and keyboard drill-down.</w:t>
            </w:r>
          </w:p>
        </w:tc>
      </w:tr>
      <w:tr>
        <w:tc>
          <w:tcPr>
            <w:tcW w:type="dxa" w:w="223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Trust and history</w:t>
            </w:r>
          </w:p>
        </w:tc>
        <w:tc>
          <w:tcPr>
            <w:tcW w:type="dxa" w:w="180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BT-16b BT-18 BT-20</w:t>
            </w:r>
          </w:p>
        </w:tc>
        <w:tc>
          <w:tcPr>
            <w:tcW w:type="dxa" w:w="53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A source registry and methodology-aware history explain where data came from and how scores changed.</w:t>
            </w:r>
          </w:p>
        </w:tc>
      </w:tr>
      <w:tr>
        <w:tc>
          <w:tcPr>
            <w:tcW w:type="dxa" w:w="2232"/>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Decision support</w:t>
            </w:r>
          </w:p>
        </w:tc>
        <w:tc>
          <w:tcPr>
            <w:tcW w:type="dxa" w:w="180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BT-19 BT-22 BT-23</w:t>
            </w:r>
          </w:p>
        </w:tc>
        <w:tc>
          <w:tcPr>
            <w:tcW w:type="dxa" w:w="532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Momentum and the AnswerStrip connect current conditions to location, consequence, and simulator action.</w:t>
            </w:r>
          </w:p>
        </w:tc>
      </w:tr>
      <w:tr>
        <w:tc>
          <w:tcPr>
            <w:tcW w:type="dxa" w:w="223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Delivery assurance</w:t>
            </w:r>
          </w:p>
        </w:tc>
        <w:tc>
          <w:tcPr>
            <w:tcW w:type="dxa" w:w="180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BT-26 BT-27</w:t>
            </w:r>
          </w:p>
        </w:tc>
        <w:tc>
          <w:tcPr>
            <w:tcW w:type="dxa" w:w="53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Automated tests and traceability documentation close the delivery loop.</w:t>
            </w:r>
          </w:p>
        </w:tc>
      </w:tr>
    </w:tbl>
    <w:p>
      <w:pPr>
        <w:spacing w:after="40"/>
      </w:pPr>
    </w:p>
    <w:p>
      <w:pPr>
        <w:pStyle w:val="Heading1"/>
        <w:keepNext/>
      </w:pPr>
      <w:r>
        <w:rPr>
          <w:rFonts w:ascii="Arial" w:hAnsi="Arial"/>
          <w:b w:val="0"/>
          <w:color w:val="000000"/>
          <w:sz w:val="48"/>
        </w:rPr>
        <w:t>Wave 3 Scope and Purpose</w:t>
      </w:r>
    </w:p>
    <w:p>
      <w:pPr>
        <w:keepLines/>
        <w:spacing w:after="120" w:line="271" w:lineRule="auto"/>
      </w:pPr>
      <w:r>
        <w:rPr>
          <w:rFonts w:ascii="Arial" w:hAnsi="Arial"/>
          <w:color w:val="000000"/>
          <w:sz w:val="21"/>
        </w:rPr>
        <w:t>Wave 3 focused on five product questions raised by the client. Users needed to understand what the current score means, where weakness is concentrated, why that weakness matters, whether conditions are improving, and what evidence supports the result. The implementation therefore concentrated on interpretation and trust rather than adding new headline metrics.</w:t>
      </w:r>
    </w:p>
    <w:p>
      <w:pPr>
        <w:keepLines/>
        <w:spacing w:after="120" w:line="271" w:lineRule="auto"/>
      </w:pPr>
      <w:r>
        <w:rPr>
          <w:rFonts w:ascii="Arial" w:hAnsi="Arial"/>
          <w:color w:val="000000"/>
          <w:sz w:val="21"/>
        </w:rPr>
        <w:t>The work serves government planners, suppliers, investors, regulators, researchers, and communities that need an explainable view of Borneo's True Wealth Hexagon. ESG and SDG remain reporting lenses; the Resilience Index and its six pillars remain the central measurement model.</w:t>
      </w:r>
    </w:p>
    <w:p>
      <w:pPr>
        <w:pStyle w:val="Heading1"/>
        <w:keepNext/>
      </w:pPr>
      <w:r>
        <w:rPr>
          <w:rFonts w:ascii="Arial" w:hAnsi="Arial"/>
          <w:b w:val="0"/>
          <w:color w:val="000000"/>
          <w:sz w:val="48"/>
        </w:rPr>
        <w:t>Bugs Fixed</w:t>
      </w:r>
    </w:p>
    <w:p>
      <w:pPr>
        <w:pStyle w:val="Heading2"/>
        <w:keepNext/>
      </w:pPr>
      <w:r>
        <w:rPr>
          <w:rFonts w:ascii="Arial" w:hAnsi="Arial"/>
          <w:b w:val="0"/>
          <w:color w:val="000000"/>
          <w:sz w:val="30"/>
        </w:rPr>
        <w:t>Translation Parity False Alarms</w:t>
      </w:r>
    </w:p>
    <w:p>
      <w:pPr>
        <w:keepLines/>
        <w:spacing w:after="120" w:line="271" w:lineRule="auto"/>
      </w:pPr>
      <w:r>
        <w:rPr>
          <w:rFonts w:ascii="Arial" w:hAnsi="Arial"/>
          <w:color w:val="000000"/>
          <w:sz w:val="21"/>
        </w:rPr>
        <w:t>A naive comparison treated seven English-only keys as missing Malay translations. The difference was valid: English uses singular and plural categories, while Malay uses only the other plural category. BT-25 introduced a locale-aware test based on Intl.PluralRules, so real omissions fail while correct Malay grammar passes.</w:t>
      </w:r>
    </w:p>
    <w:p>
      <w:pPr>
        <w:pStyle w:val="Heading2"/>
        <w:keepNext/>
      </w:pPr>
      <w:r>
        <w:rPr>
          <w:rFonts w:ascii="Arial" w:hAnsi="Arial"/>
          <w:b w:val="0"/>
          <w:color w:val="000000"/>
          <w:sz w:val="30"/>
        </w:rPr>
        <w:t>Missing Data Presented as Poor Performance</w:t>
      </w:r>
    </w:p>
    <w:p>
      <w:pPr>
        <w:keepLines/>
        <w:spacing w:after="120" w:line="271" w:lineRule="auto"/>
      </w:pPr>
      <w:r>
        <w:rPr>
          <w:rFonts w:ascii="Arial" w:hAnsi="Arial"/>
          <w:color w:val="000000"/>
          <w:sz w:val="21"/>
        </w:rPr>
        <w:t>An unscored True Wealth pillar must not appear as zero. BT-12 now resolves indicator rows from resilience.json by hexagon pillar, and the drill-down displays an explicit no-comparable-data message when no rows exist. This protects the distinction between a weak score and an absent measurement.</w:t>
      </w:r>
    </w:p>
    <w:p>
      <w:pPr>
        <w:pStyle w:val="Heading2"/>
        <w:keepNext/>
      </w:pPr>
      <w:r>
        <w:rPr>
          <w:rFonts w:ascii="Arial" w:hAnsi="Arial"/>
          <w:b w:val="0"/>
          <w:color w:val="000000"/>
          <w:sz w:val="30"/>
        </w:rPr>
        <w:t>Misleading Momentum Across Method Changes</w:t>
      </w:r>
    </w:p>
    <w:p>
      <w:pPr>
        <w:keepLines/>
        <w:spacing w:after="120" w:line="271" w:lineRule="auto"/>
      </w:pPr>
      <w:r>
        <w:rPr>
          <w:rFonts w:ascii="Arial" w:hAnsi="Arial"/>
          <w:color w:val="000000"/>
          <w:sz w:val="21"/>
        </w:rPr>
        <w:t>The historical series contains a methodology break caused by a previous Education coverage correction. The Wave 3 momentum logic refuses to calculate a change across that break. The first point under the corrected method is labelled as the first comparable reading rather than being presented as a rise or fall in Borneo itself.</w:t>
      </w:r>
    </w:p>
    <w:p>
      <w:pPr>
        <w:pStyle w:val="Heading2"/>
        <w:keepNext/>
      </w:pPr>
      <w:r>
        <w:rPr>
          <w:rFonts w:ascii="Arial" w:hAnsi="Arial"/>
          <w:b w:val="0"/>
          <w:color w:val="000000"/>
          <w:sz w:val="30"/>
        </w:rPr>
        <w:t>Flat Refreshes Displayed as Meaningful Change</w:t>
      </w:r>
    </w:p>
    <w:p>
      <w:pPr>
        <w:keepLines/>
        <w:spacing w:after="120" w:line="271" w:lineRule="auto"/>
      </w:pPr>
      <w:r>
        <w:rPr>
          <w:rFonts w:ascii="Arial" w:hAnsi="Arial"/>
          <w:color w:val="000000"/>
          <w:sz w:val="21"/>
        </w:rPr>
        <w:t>Many source datasets update annually or quarterly even though the publication pipeline runs more often. BT-19 replaced confusing plus zero displays with a dated no-change statement. This tells users that the system is current but the source observation has not changed.</w:t>
      </w:r>
    </w:p>
    <w:p>
      <w:pPr>
        <w:sectPr>
          <w:headerReference r:id="rId9" w:type="default"/>
          <w:footerReference r:id="rId10" w:type="default"/>
          <w:pgSz w:h="15840" w:w="12240" w:orient="portrait"/>
          <w:pgMar w:bottom="1440" w:top="1440" w:left="1440" w:right="1440" w:header="720" w:footer="720"/>
          <w:pgNumType w:start="1"/>
        </w:sectPr>
      </w:pPr>
    </w:p>
    <w:p>
      <w:pPr>
        <w:pStyle w:val="Heading2"/>
        <w:keepNext/>
      </w:pPr>
      <w:r>
        <w:rPr>
          <w:rFonts w:ascii="Arial" w:hAnsi="Arial"/>
          <w:b w:val="0"/>
          <w:color w:val="000000"/>
          <w:sz w:val="30"/>
        </w:rPr>
        <w:t>Search Dead Ends</w:t>
      </w:r>
    </w:p>
    <w:p>
      <w:pPr>
        <w:keepLines/>
        <w:spacing w:after="120" w:line="271" w:lineRule="auto"/>
      </w:pPr>
      <w:r>
        <w:rPr>
          <w:rFonts w:ascii="Arial" w:hAnsi="Arial"/>
          <w:color w:val="000000"/>
          <w:sz w:val="21"/>
        </w:rPr>
        <w:t>The dashboard place search previously stopped at no results. BT-14 now offers an Ask BorneoBot action and opens the existing chat panel with the query pre-filled. The integration reuses the existing chatbot rather than creating another AI service, and it retains the shared daily quota warning and fallback behaviour.</w:t>
      </w:r>
    </w:p>
    <w:p>
      <w:pPr>
        <w:pStyle w:val="Heading2"/>
        <w:keepNext/>
      </w:pPr>
      <w:r>
        <w:rPr>
          <w:rFonts w:ascii="Arial" w:hAnsi="Arial"/>
          <w:b w:val="0"/>
          <w:color w:val="000000"/>
          <w:sz w:val="30"/>
        </w:rPr>
        <w:t>Source Transparency Mixed with File Integrity</w:t>
      </w:r>
    </w:p>
    <w:p>
      <w:pPr>
        <w:keepLines/>
        <w:spacing w:after="120" w:line="271" w:lineRule="auto"/>
      </w:pPr>
      <w:r>
        <w:rPr>
          <w:rFonts w:ascii="Arial" w:hAnsi="Arial"/>
          <w:color w:val="000000"/>
          <w:sz w:val="21"/>
        </w:rPr>
        <w:t>The data-sources page originally answered whether published files had been altered, but not who published each observation. BT-16b and BT-20 added a separate Sources section for publisher, licence, official URL, cadence, territory coverage, and pillar coverage. The cryptographic ledger remains separate because provenance and tamper evidence answer different questions.</w:t>
      </w:r>
    </w:p>
    <w:p>
      <w:pPr>
        <w:pStyle w:val="Heading2"/>
        <w:keepNext/>
      </w:pPr>
      <w:r>
        <w:rPr>
          <w:rFonts w:ascii="Arial" w:hAnsi="Arial"/>
          <w:b w:val="0"/>
          <w:color w:val="000000"/>
          <w:sz w:val="30"/>
        </w:rPr>
        <w:t>Layout Duplication and Overflow Risks</w:t>
      </w:r>
    </w:p>
    <w:p>
      <w:pPr>
        <w:keepLines/>
        <w:spacing w:after="120" w:line="271" w:lineRule="auto"/>
      </w:pPr>
      <w:r>
        <w:rPr>
          <w:rFonts w:ascii="Arial" w:hAnsi="Arial"/>
          <w:color w:val="000000"/>
          <w:sz w:val="21"/>
        </w:rPr>
        <w:t>The platform tagline was placed in the About and authentication layouts instead of the fixed-height footer, preventing a predictable mobile overflow. On the dashboard, AnswerStrip replaced overlapping headline and call-to-action content rather than duplicating it inside the same panel.</w:t>
      </w:r>
    </w:p>
    <w:p>
      <w:pPr>
        <w:sectPr>
          <w:pgSz w:h="15840" w:w="12240"/>
          <w:pgMar w:bottom="1440" w:top="1440" w:left="1440" w:right="1440" w:header="720" w:footer="720"/>
        </w:sectPr>
      </w:pPr>
    </w:p>
    <w:p>
      <w:pPr>
        <w:pStyle w:val="Heading1"/>
        <w:keepNext/>
      </w:pPr>
      <w:r>
        <w:rPr>
          <w:rFonts w:ascii="Arial" w:hAnsi="Arial"/>
          <w:b w:val="0"/>
          <w:color w:val="000000"/>
          <w:sz w:val="48"/>
        </w:rPr>
        <w:t>Front End and Data Trust Improvements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080"/>
            <w:vAlign w:val="center"/>
            <w:tcMar>
              <w:top w:w="110" w:type="dxa"/>
              <w:start w:w="120" w:type="dxa"/>
              <w:bottom w:w="110" w:type="dxa"/>
              <w:end w:w="120" w:type="dxa"/>
            </w:tcMar>
            <w:shd w:fill="17324D"/>
          </w:tcPr>
          <w:p>
            <w:pPr>
              <w:spacing w:after="0" w:line="252" w:lineRule="auto"/>
            </w:pPr>
            <w:r>
              <w:rPr>
                <w:rFonts w:ascii="Arial" w:hAnsi="Arial"/>
                <w:b/>
                <w:color w:val="FFFFFF"/>
                <w:sz w:val="18"/>
              </w:rPr>
              <w:t>Ticket</w:t>
            </w:r>
          </w:p>
        </w:tc>
        <w:tc>
          <w:tcPr>
            <w:tcW w:type="dxa" w:w="3240"/>
            <w:vAlign w:val="center"/>
            <w:tcMar>
              <w:top w:w="110" w:type="dxa"/>
              <w:start w:w="120" w:type="dxa"/>
              <w:bottom w:w="110" w:type="dxa"/>
              <w:end w:w="120" w:type="dxa"/>
            </w:tcMar>
            <w:shd w:fill="17324D"/>
          </w:tcPr>
          <w:p>
            <w:pPr>
              <w:spacing w:after="0" w:line="252" w:lineRule="auto"/>
            </w:pPr>
            <w:r>
              <w:rPr>
                <w:rFonts w:ascii="Arial" w:hAnsi="Arial"/>
                <w:b/>
                <w:color w:val="FFFFFF"/>
                <w:sz w:val="18"/>
              </w:rPr>
              <w:t>Improvement</w:t>
            </w:r>
          </w:p>
        </w:tc>
        <w:tc>
          <w:tcPr>
            <w:tcW w:type="dxa" w:w="5040"/>
            <w:vAlign w:val="center"/>
            <w:tcMar>
              <w:top w:w="110" w:type="dxa"/>
              <w:start w:w="120" w:type="dxa"/>
              <w:bottom w:w="110" w:type="dxa"/>
              <w:end w:w="120" w:type="dxa"/>
            </w:tcMar>
            <w:shd w:fill="17324D"/>
          </w:tcPr>
          <w:p>
            <w:pPr>
              <w:spacing w:after="0" w:line="252" w:lineRule="auto"/>
            </w:pPr>
            <w:r>
              <w:rPr>
                <w:rFonts w:ascii="Arial" w:hAnsi="Arial"/>
                <w:b/>
                <w:color w:val="FFFFFF"/>
                <w:sz w:val="18"/>
              </w:rPr>
              <w:t>User benefit</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BT-25</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Plural-aware bilingual parity test</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Prevents genuine translation gaps without penalising correct Malay plural rules.</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BT-24</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Tagline on About and sign-in screens</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States the platform purpose consistently without breaking the footer layout.</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BT-14</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Search hand-off to BorneoBot</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Turns an unmatched place query into an actionable natural-language question.</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BT-12</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Accessible radar drill-down</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Shows the indicators, values, years, sources, confidence, and scores behind each pillar.</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BT-16b</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Versioned source registry</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Documents publisher, licence, cadence, territories, and pillar coverage for each source.</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BT-20</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Sources interface</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Lets users inspect source coverage separately from the cryptographic hash ledger.</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BT-18</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Methodology-aware resilience history</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Preserves historical observations without turning calculation changes into false trends.</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BT-19</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Momentum display and sparkline</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Shows dated change, no-change states, and the largest positive and negative movers.</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BT-22</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Dashboard AnswerStrip</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Answers what, where, why, and what next in one compact decision flow.</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BT-23</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AnswerStrip across analysis pages</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Applies the same interpretation model to ESG, SDG, and Regional Details.</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BT-26</w:t>
            </w:r>
          </w:p>
        </w:tc>
        <w:tc>
          <w:tcPr>
            <w:tcW w:type="dxa" w:w="32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Expanded automated tests</w:t>
            </w:r>
          </w:p>
        </w:tc>
        <w:tc>
          <w:tcPr>
            <w:tcW w:type="dxa" w:w="5040"/>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Protects headline, momentum, map scaling, drill-down, history, and i18n logic.</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BT-27</w:t>
            </w:r>
          </w:p>
        </w:tc>
        <w:tc>
          <w:tcPr>
            <w:tcW w:type="dxa" w:w="32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Traceability documentation</w:t>
            </w:r>
          </w:p>
        </w:tc>
        <w:tc>
          <w:tcPr>
            <w:tcW w:type="dxa" w:w="5040"/>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Maps client feedback to delivered tickets, evidence, and known limitations.</w:t>
            </w:r>
          </w:p>
        </w:tc>
      </w:tr>
    </w:tbl>
    <w:p>
      <w:pPr>
        <w:spacing w:after="40"/>
      </w:pPr>
    </w:p>
    <w:p>
      <w:pPr>
        <w:pStyle w:val="Heading2"/>
        <w:keepNext/>
      </w:pPr>
      <w:r>
        <w:rPr>
          <w:rFonts w:ascii="Arial" w:hAnsi="Arial"/>
          <w:b w:val="0"/>
          <w:color w:val="000000"/>
          <w:sz w:val="30"/>
        </w:rPr>
        <w:t>Decision Framing</w:t>
      </w:r>
    </w:p>
    <w:p>
      <w:pPr>
        <w:keepLines/>
        <w:spacing w:after="120" w:line="271" w:lineRule="auto"/>
      </w:pPr>
      <w:r>
        <w:rPr>
          <w:rFonts w:ascii="Arial" w:hAnsi="Arial"/>
          <w:color w:val="000000"/>
          <w:sz w:val="21"/>
        </w:rPr>
        <w:t>AnswerStrip makes each main analysis page answer four questions in sequence. What reports the current condition. Where identifies the weakest relevant scope. Why explains the real-world consequence of the weak True Wealth pillar. What Next links to the Impact Simulator with the relevant territory and pillar already selected. Empty slots are omitted instead of being filled with speculative text.</w:t>
      </w:r>
    </w:p>
    <w:p>
      <w:pPr>
        <w:pStyle w:val="Heading2"/>
        <w:keepNext/>
      </w:pPr>
      <w:r>
        <w:rPr>
          <w:rFonts w:ascii="Arial" w:hAnsi="Arial"/>
          <w:b w:val="0"/>
          <w:color w:val="000000"/>
          <w:sz w:val="30"/>
        </w:rPr>
        <w:t>Momentum and Historical Honesty</w:t>
      </w:r>
    </w:p>
    <w:p>
      <w:pPr>
        <w:keepLines/>
        <w:spacing w:after="120" w:line="271" w:lineRule="auto"/>
      </w:pPr>
      <w:r>
        <w:rPr>
          <w:rFonts w:ascii="Arial" w:hAnsi="Arial"/>
          <w:color w:val="000000"/>
          <w:sz w:val="21"/>
        </w:rPr>
        <w:t>The history builder reconstructs the Resilience Index from committed snapshots and tags the methodology in force for each point. The interface uses the previous comparable reading and its real date. Overall Borneo does not receive an invented aggregate time series; the dashboard instead reports which territories actually improved, declined, or stayed flat.</w:t>
      </w:r>
    </w:p>
    <w:p>
      <w:pPr>
        <w:sectPr>
          <w:pgSz w:h="15840" w:w="12240"/>
          <w:pgMar w:bottom="1440" w:top="1440" w:left="1440" w:right="1440" w:header="720" w:footer="720"/>
        </w:sectPr>
      </w:pPr>
    </w:p>
    <w:p>
      <w:pPr>
        <w:pStyle w:val="Heading1"/>
        <w:keepNext/>
      </w:pPr>
      <w:r>
        <w:rPr>
          <w:rFonts w:ascii="Arial" w:hAnsi="Arial"/>
          <w:b w:val="0"/>
          <w:color w:val="000000"/>
          <w:sz w:val="48"/>
        </w:rPr>
        <w:t>Engineering Quality and Maintainability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088"/>
            <w:vAlign w:val="center"/>
            <w:tcMar>
              <w:top w:w="110" w:type="dxa"/>
              <w:start w:w="120" w:type="dxa"/>
              <w:bottom w:w="110" w:type="dxa"/>
              <w:end w:w="120" w:type="dxa"/>
            </w:tcMar>
            <w:shd w:fill="17324D"/>
          </w:tcPr>
          <w:p>
            <w:pPr>
              <w:spacing w:after="0" w:line="252" w:lineRule="auto"/>
            </w:pPr>
            <w:r>
              <w:rPr>
                <w:rFonts w:ascii="Arial" w:hAnsi="Arial"/>
                <w:b/>
                <w:color w:val="FFFFFF"/>
                <w:sz w:val="18"/>
              </w:rPr>
              <w:t>Design choice</w:t>
            </w:r>
          </w:p>
        </w:tc>
        <w:tc>
          <w:tcPr>
            <w:tcW w:type="dxa" w:w="3024"/>
            <w:vAlign w:val="center"/>
            <w:tcMar>
              <w:top w:w="110" w:type="dxa"/>
              <w:start w:w="120" w:type="dxa"/>
              <w:bottom w:w="110" w:type="dxa"/>
              <w:end w:w="120" w:type="dxa"/>
            </w:tcMar>
            <w:shd w:fill="17324D"/>
          </w:tcPr>
          <w:p>
            <w:pPr>
              <w:spacing w:after="0" w:line="252" w:lineRule="auto"/>
            </w:pPr>
            <w:r>
              <w:rPr>
                <w:rFonts w:ascii="Arial" w:hAnsi="Arial"/>
                <w:b/>
                <w:color w:val="FFFFFF"/>
                <w:sz w:val="18"/>
              </w:rPr>
              <w:t>Implementation</w:t>
            </w:r>
          </w:p>
        </w:tc>
        <w:tc>
          <w:tcPr>
            <w:tcW w:type="dxa" w:w="4248"/>
            <w:vAlign w:val="center"/>
            <w:tcMar>
              <w:top w:w="110" w:type="dxa"/>
              <w:start w:w="120" w:type="dxa"/>
              <w:bottom w:w="110" w:type="dxa"/>
              <w:end w:w="120" w:type="dxa"/>
            </w:tcMar>
            <w:shd w:fill="17324D"/>
          </w:tcPr>
          <w:p>
            <w:pPr>
              <w:spacing w:after="0" w:line="252" w:lineRule="auto"/>
            </w:pPr>
            <w:r>
              <w:rPr>
                <w:rFonts w:ascii="Arial" w:hAnsi="Arial"/>
                <w:b/>
                <w:color w:val="FFFFFF"/>
                <w:sz w:val="18"/>
              </w:rPr>
              <w:t>Maintainability result</w:t>
            </w:r>
          </w:p>
        </w:tc>
      </w:tr>
      <w:tr>
        <w:tc>
          <w:tcPr>
            <w:tcW w:type="dxa" w:w="2088"/>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Shared decision component</w:t>
            </w:r>
          </w:p>
        </w:tc>
        <w:tc>
          <w:tcPr>
            <w:tcW w:type="dxa" w:w="302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AnswerStrip plus useAnswerStrip</w:t>
            </w:r>
          </w:p>
        </w:tc>
        <w:tc>
          <w:tcPr>
            <w:tcW w:type="dxa" w:w="424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One presentation pattern is reused across four pages while each page supplies its own context.</w:t>
            </w:r>
          </w:p>
        </w:tc>
      </w:tr>
      <w:tr>
        <w:tc>
          <w:tcPr>
            <w:tcW w:type="dxa" w:w="2088"/>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Pure calculation utilities</w:t>
            </w:r>
          </w:p>
        </w:tc>
        <w:tc>
          <w:tcPr>
            <w:tcW w:type="dxa" w:w="302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momentum and pillar resolvers</w:t>
            </w:r>
          </w:p>
        </w:tc>
        <w:tc>
          <w:tcPr>
            <w:tcW w:type="dxa" w:w="424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Trend and drill-down rules can be tested without rendering a page.</w:t>
            </w:r>
          </w:p>
        </w:tc>
      </w:tr>
      <w:tr>
        <w:tc>
          <w:tcPr>
            <w:tcW w:type="dxa" w:w="2088"/>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Backward-compatible radar</w:t>
            </w:r>
          </w:p>
        </w:tc>
        <w:tc>
          <w:tcPr>
            <w:tcW w:type="dxa" w:w="302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Optional interaction callback</w:t>
            </w:r>
          </w:p>
        </w:tc>
        <w:tc>
          <w:tcPr>
            <w:tcW w:type="dxa" w:w="424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Existing radar uses remain unchanged when drill-down is not enabled.</w:t>
            </w:r>
          </w:p>
        </w:tc>
      </w:tr>
      <w:tr>
        <w:tc>
          <w:tcPr>
            <w:tcW w:type="dxa" w:w="2088"/>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Existing UI reuse</w:t>
            </w:r>
          </w:p>
        </w:tc>
        <w:tc>
          <w:tcPr>
            <w:tcW w:type="dxa" w:w="302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Modal and ProvenanceChip</w:t>
            </w:r>
          </w:p>
        </w:tc>
        <w:tc>
          <w:tcPr>
            <w:tcW w:type="dxa" w:w="424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Source, year, and confidence presentation stays consistent with the rest of the system.</w:t>
            </w:r>
          </w:p>
        </w:tc>
      </w:tr>
      <w:tr>
        <w:tc>
          <w:tcPr>
            <w:tcW w:type="dxa" w:w="2088"/>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Deterministic narrative</w:t>
            </w:r>
          </w:p>
        </w:tc>
        <w:tc>
          <w:tcPr>
            <w:tcW w:type="dxa" w:w="302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buildHeadline and translation keys</w:t>
            </w:r>
          </w:p>
        </w:tc>
        <w:tc>
          <w:tcPr>
            <w:tcW w:type="dxa" w:w="424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The displayed summary stays tied to published values and incurs no AI cost per view.</w:t>
            </w:r>
          </w:p>
        </w:tc>
      </w:tr>
      <w:tr>
        <w:tc>
          <w:tcPr>
            <w:tcW w:type="dxa" w:w="2088"/>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Separated trust concerns</w:t>
            </w:r>
          </w:p>
        </w:tc>
        <w:tc>
          <w:tcPr>
            <w:tcW w:type="dxa" w:w="302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Sources registry and hash ledger</w:t>
            </w:r>
          </w:p>
        </w:tc>
        <w:tc>
          <w:tcPr>
            <w:tcW w:type="dxa" w:w="424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Publisher provenance can evolve without weakening the six-file integrity contract.</w:t>
            </w:r>
          </w:p>
        </w:tc>
      </w:tr>
    </w:tbl>
    <w:p>
      <w:pPr>
        <w:spacing w:after="40"/>
      </w:pPr>
    </w:p>
    <w:p>
      <w:pPr>
        <w:pStyle w:val="Heading1"/>
        <w:keepNext/>
      </w:pPr>
      <w:r>
        <w:rPr>
          <w:rFonts w:ascii="Arial" w:hAnsi="Arial"/>
          <w:b w:val="0"/>
          <w:color w:val="000000"/>
          <w:sz w:val="48"/>
        </w:rPr>
        <w:t>Alignment with ABCDE and the True Wealth Hexagon</w:t>
      </w:r>
    </w:p>
    <w:p>
      <w:pPr>
        <w:keepLines/>
        <w:spacing w:after="120" w:line="271" w:lineRule="auto"/>
      </w:pPr>
      <w:r>
        <w:rPr>
          <w:rFonts w:ascii="Arial" w:hAnsi="Arial"/>
          <w:color w:val="000000"/>
          <w:sz w:val="21"/>
        </w:rPr>
        <w:t>Wave 3 primarily advances D for Data and E for Ethics. The source registry, confidence labels, methodology breaks, and unscored states make evidence and uncertainty visible. BT-14 makes a limited contribution to A for Artificial Intelligence by connecting dashboard search to the existing BorneoBot. Cadence information supports C for Connectivity by showing how often each source can refresh. The work does not claim any new Blockchain capability.</w:t>
      </w:r>
    </w:p>
    <w:p>
      <w:pPr>
        <w:keepLines/>
        <w:spacing w:after="120" w:line="271" w:lineRule="auto"/>
      </w:pPr>
      <w:r>
        <w:rPr>
          <w:rFonts w:ascii="Arial" w:hAnsi="Arial"/>
          <w:color w:val="000000"/>
          <w:sz w:val="21"/>
        </w:rPr>
        <w:t>The drill-down and AnswerStrip keep Food, Energy, Education, Shelter, Healthcare, and Entertainment as the decision structure. This helps users see the weakest essential system rather than treating an overall average as sufficient. Suppliers and investors gain a clearer due-diligence trail, government users gain a clearer planning view, and communities gain a more transparent explanation of the numbers used to describe their territory.</w:t>
      </w:r>
    </w:p>
    <w:p>
      <w:pPr>
        <w:pStyle w:val="Heading1"/>
        <w:keepNext/>
      </w:pPr>
      <w:r>
        <w:rPr>
          <w:rFonts w:ascii="Arial" w:hAnsi="Arial"/>
          <w:b w:val="0"/>
          <w:color w:val="000000"/>
          <w:sz w:val="48"/>
        </w:rPr>
        <w:t>Validation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72"/>
            <w:vAlign w:val="center"/>
            <w:tcMar>
              <w:top w:w="110" w:type="dxa"/>
              <w:start w:w="120" w:type="dxa"/>
              <w:bottom w:w="110" w:type="dxa"/>
              <w:end w:w="120" w:type="dxa"/>
            </w:tcMar>
            <w:shd w:fill="17324D"/>
          </w:tcPr>
          <w:p>
            <w:pPr>
              <w:spacing w:after="0" w:line="252" w:lineRule="auto"/>
            </w:pPr>
            <w:r>
              <w:rPr>
                <w:rFonts w:ascii="Arial" w:hAnsi="Arial"/>
                <w:b/>
                <w:color w:val="FFFFFF"/>
                <w:sz w:val="18"/>
              </w:rPr>
              <w:t>Validation</w:t>
            </w:r>
          </w:p>
        </w:tc>
        <w:tc>
          <w:tcPr>
            <w:tcW w:type="dxa" w:w="3384"/>
            <w:vAlign w:val="center"/>
            <w:tcMar>
              <w:top w:w="110" w:type="dxa"/>
              <w:start w:w="120" w:type="dxa"/>
              <w:bottom w:w="110" w:type="dxa"/>
              <w:end w:w="120" w:type="dxa"/>
            </w:tcMar>
            <w:shd w:fill="17324D"/>
          </w:tcPr>
          <w:p>
            <w:pPr>
              <w:spacing w:after="0" w:line="252" w:lineRule="auto"/>
            </w:pPr>
            <w:r>
              <w:rPr>
                <w:rFonts w:ascii="Arial" w:hAnsi="Arial"/>
                <w:b/>
                <w:color w:val="FFFFFF"/>
                <w:sz w:val="18"/>
              </w:rPr>
              <w:t>Recorded Wave 3 result</w:t>
            </w:r>
          </w:p>
        </w:tc>
        <w:tc>
          <w:tcPr>
            <w:tcW w:type="dxa" w:w="4104"/>
            <w:vAlign w:val="center"/>
            <w:tcMar>
              <w:top w:w="110" w:type="dxa"/>
              <w:start w:w="120" w:type="dxa"/>
              <w:bottom w:w="110" w:type="dxa"/>
              <w:end w:w="120" w:type="dxa"/>
            </w:tcMar>
            <w:shd w:fill="17324D"/>
          </w:tcPr>
          <w:p>
            <w:pPr>
              <w:spacing w:after="0" w:line="252" w:lineRule="auto"/>
            </w:pPr>
            <w:r>
              <w:rPr>
                <w:rFonts w:ascii="Arial" w:hAnsi="Arial"/>
                <w:b/>
                <w:color w:val="FFFFFF"/>
                <w:sz w:val="18"/>
              </w:rPr>
              <w:t>Current note</w:t>
            </w:r>
          </w:p>
        </w:tc>
      </w:tr>
      <w:tr>
        <w:tc>
          <w:tcPr>
            <w:tcW w:type="dxa" w:w="187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Frontend tests</w:t>
            </w:r>
          </w:p>
        </w:tc>
        <w:tc>
          <w:tcPr>
            <w:tcW w:type="dxa" w:w="338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63 files and 1,012 tests passed</w:t>
            </w:r>
          </w:p>
        </w:tc>
        <w:tc>
          <w:tcPr>
            <w:tcW w:type="dxa" w:w="410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4 September rerun: 1,062 passed and 4 failed in AI-chat warning-code expectations.</w:t>
            </w:r>
          </w:p>
        </w:tc>
      </w:tr>
      <w:tr>
        <w:tc>
          <w:tcPr>
            <w:tcW w:type="dxa" w:w="1872"/>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Python tests</w:t>
            </w:r>
          </w:p>
        </w:tc>
        <w:tc>
          <w:tcPr>
            <w:tcW w:type="dxa" w:w="338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130 tests passed</w:t>
            </w:r>
          </w:p>
        </w:tc>
        <w:tc>
          <w:tcPr>
            <w:tcW w:type="dxa" w:w="410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Wave 3 history, registry, release guardrails, and metadata tests were included.</w:t>
            </w:r>
          </w:p>
        </w:tc>
      </w:tr>
      <w:tr>
        <w:tc>
          <w:tcPr>
            <w:tcW w:type="dxa" w:w="187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Production build</w:t>
            </w:r>
          </w:p>
        </w:tc>
        <w:tc>
          <w:tcPr>
            <w:tcW w:type="dxa" w:w="338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Completed successfully</w:t>
            </w:r>
          </w:p>
        </w:tc>
        <w:tc>
          <w:tcPr>
            <w:tcW w:type="dxa" w:w="410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The Wave 3 delivery report records a clean build.</w:t>
            </w:r>
          </w:p>
        </w:tc>
      </w:tr>
      <w:tr>
        <w:tc>
          <w:tcPr>
            <w:tcW w:type="dxa" w:w="1872"/>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Bilingual coverage</w:t>
            </w:r>
          </w:p>
        </w:tc>
        <w:tc>
          <w:tcPr>
            <w:tcW w:type="dxa" w:w="338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Parity test passed</w:t>
            </w:r>
          </w:p>
        </w:tc>
        <w:tc>
          <w:tcPr>
            <w:tcW w:type="dxa" w:w="4104"/>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English and Malay keys are compared with locale-specific plural categories.</w:t>
            </w:r>
          </w:p>
        </w:tc>
      </w:tr>
      <w:tr>
        <w:tc>
          <w:tcPr>
            <w:tcW w:type="dxa" w:w="1872"/>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Accessibility</w:t>
            </w:r>
          </w:p>
        </w:tc>
        <w:tc>
          <w:tcPr>
            <w:tcW w:type="dxa" w:w="338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Keyboard interaction tested</w:t>
            </w:r>
          </w:p>
        </w:tc>
        <w:tc>
          <w:tcPr>
            <w:tcW w:type="dxa" w:w="4104"/>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Radar vertices support Tab, Enter, and Space as well as pointer input.</w:t>
            </w:r>
          </w:p>
        </w:tc>
      </w:tr>
    </w:tbl>
    <w:p>
      <w:pPr>
        <w:spacing w:after="40"/>
      </w:pPr>
    </w:p>
    <w:p>
      <w:pPr>
        <w:keepLines/>
        <w:spacing w:after="120" w:line="271" w:lineRule="auto"/>
      </w:pPr>
      <w:r>
        <w:rPr>
          <w:rFonts w:ascii="Arial" w:hAnsi="Arial"/>
          <w:b/>
          <w:color w:val="000000"/>
          <w:sz w:val="21"/>
        </w:rPr>
        <w:t xml:space="preserve">Current test maintenance note. </w:t>
      </w:r>
      <w:r>
        <w:rPr>
          <w:rFonts w:ascii="Arial" w:hAnsi="Arial"/>
          <w:color w:val="000000"/>
          <w:sz w:val="21"/>
        </w:rPr>
        <w:t>The four present failures expect TARGET_INACTIVE while the implementation returns TARGET_UNAVAILABLE for inactive unemployment and poverty bounds. This is an AI-chat contract mismatch outside the Wave 3 front-end feature set. It should be resolved before the current branch is described as fully green.</w:t>
      </w:r>
    </w:p>
    <w:p>
      <w:pPr>
        <w:sectPr>
          <w:pgSz w:h="15840" w:w="12240"/>
          <w:pgMar w:bottom="1440" w:top="1440" w:left="1440" w:right="1440" w:header="720" w:footer="720"/>
        </w:sectPr>
      </w:pPr>
    </w:p>
    <w:p>
      <w:pPr>
        <w:pStyle w:val="Heading1"/>
        <w:keepNext/>
      </w:pPr>
      <w:r>
        <w:rPr>
          <w:rFonts w:ascii="Arial" w:hAnsi="Arial"/>
          <w:b w:val="0"/>
          <w:color w:val="000000"/>
          <w:sz w:val="48"/>
        </w:rPr>
        <w:t>Known Limitations and Next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080"/>
            <w:vAlign w:val="center"/>
            <w:tcMar>
              <w:top w:w="110" w:type="dxa"/>
              <w:start w:w="120" w:type="dxa"/>
              <w:bottom w:w="110" w:type="dxa"/>
              <w:end w:w="120" w:type="dxa"/>
            </w:tcMar>
            <w:shd w:fill="17324D"/>
          </w:tcPr>
          <w:p>
            <w:pPr>
              <w:spacing w:after="0" w:line="252" w:lineRule="auto"/>
            </w:pPr>
            <w:r>
              <w:rPr>
                <w:rFonts w:ascii="Arial" w:hAnsi="Arial"/>
                <w:b/>
                <w:color w:val="FFFFFF"/>
                <w:sz w:val="18"/>
              </w:rPr>
              <w:t>Priority</w:t>
            </w:r>
          </w:p>
        </w:tc>
        <w:tc>
          <w:tcPr>
            <w:tcW w:type="dxa" w:w="3528"/>
            <w:vAlign w:val="center"/>
            <w:tcMar>
              <w:top w:w="110" w:type="dxa"/>
              <w:start w:w="120" w:type="dxa"/>
              <w:bottom w:w="110" w:type="dxa"/>
              <w:end w:w="120" w:type="dxa"/>
            </w:tcMar>
            <w:shd w:fill="17324D"/>
          </w:tcPr>
          <w:p>
            <w:pPr>
              <w:spacing w:after="0" w:line="252" w:lineRule="auto"/>
            </w:pPr>
            <w:r>
              <w:rPr>
                <w:rFonts w:ascii="Arial" w:hAnsi="Arial"/>
                <w:b/>
                <w:color w:val="FFFFFF"/>
                <w:sz w:val="18"/>
              </w:rPr>
              <w:t>Open item</w:t>
            </w:r>
          </w:p>
        </w:tc>
        <w:tc>
          <w:tcPr>
            <w:tcW w:type="dxa" w:w="4752"/>
            <w:vAlign w:val="center"/>
            <w:tcMar>
              <w:top w:w="110" w:type="dxa"/>
              <w:start w:w="120" w:type="dxa"/>
              <w:bottom w:w="110" w:type="dxa"/>
              <w:end w:w="120" w:type="dxa"/>
            </w:tcMar>
            <w:shd w:fill="17324D"/>
          </w:tcPr>
          <w:p>
            <w:pPr>
              <w:spacing w:after="0" w:line="252" w:lineRule="auto"/>
            </w:pPr>
            <w:r>
              <w:rPr>
                <w:rFonts w:ascii="Arial" w:hAnsi="Arial"/>
                <w:b/>
                <w:color w:val="FFFFFF"/>
                <w:sz w:val="18"/>
              </w:rPr>
              <w:t>Required action</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High</w:t>
            </w:r>
          </w:p>
        </w:tc>
        <w:tc>
          <w:tcPr>
            <w:tcW w:type="dxa" w:w="35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Four current AI-chat tests fail</w:t>
            </w:r>
          </w:p>
        </w:tc>
        <w:tc>
          <w:tcPr>
            <w:tcW w:type="dxa" w:w="4752"/>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Align the public warning contract and tests for TARGET_INACTIVE versus TARGET_UNAVAILABLE, then rerun the full suite.</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High</w:t>
            </w:r>
          </w:p>
        </w:tc>
        <w:tc>
          <w:tcPr>
            <w:tcW w:type="dxa" w:w="352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BT-14 production path is not browser-verified</w:t>
            </w:r>
          </w:p>
        </w:tc>
        <w:tc>
          <w:tcPr>
            <w:tcW w:type="dxa" w:w="4752"/>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Run an end-to-end smoke test against the deployed Edge Function and confirm quota fallback behaviour.</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Medium</w:t>
            </w:r>
          </w:p>
        </w:tc>
        <w:tc>
          <w:tcPr>
            <w:tcW w:type="dxa" w:w="35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Overall Borneo has no single indicator list</w:t>
            </w:r>
          </w:p>
        </w:tc>
        <w:tc>
          <w:tcPr>
            <w:tcW w:type="dxa" w:w="4752"/>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Decide whether aggregate drill-down should compare four territories side by side or continue asking the user to select one.</w:t>
            </w:r>
          </w:p>
        </w:tc>
      </w:tr>
      <w:tr>
        <w:tc>
          <w:tcPr>
            <w:tcW w:type="dxa" w:w="1080"/>
            <w:vAlign w:val="center"/>
            <w:tcMar>
              <w:top w:w="110" w:type="dxa"/>
              <w:start w:w="120" w:type="dxa"/>
              <w:bottom w:w="110" w:type="dxa"/>
              <w:end w:w="120" w:type="dxa"/>
            </w:tcMar>
            <w:shd w:fill="EAF1F7"/>
          </w:tcPr>
          <w:p>
            <w:pPr>
              <w:spacing w:after="0" w:line="252" w:lineRule="auto"/>
              <w:jc w:val="center"/>
            </w:pPr>
            <w:r>
              <w:rPr>
                <w:rFonts w:ascii="Arial" w:hAnsi="Arial"/>
                <w:b w:val="0"/>
                <w:color w:val="000000"/>
                <w:sz w:val="18"/>
              </w:rPr>
              <w:t>Medium</w:t>
            </w:r>
          </w:p>
        </w:tc>
        <w:tc>
          <w:tcPr>
            <w:tcW w:type="dxa" w:w="3528"/>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Shared AI quota can be exhausted</w:t>
            </w:r>
          </w:p>
        </w:tc>
        <w:tc>
          <w:tcPr>
            <w:tcW w:type="dxa" w:w="4752"/>
            <w:vAlign w:val="center"/>
            <w:tcMar>
              <w:top w:w="110" w:type="dxa"/>
              <w:start w:w="120" w:type="dxa"/>
              <w:bottom w:w="110" w:type="dxa"/>
              <w:end w:w="120" w:type="dxa"/>
            </w:tcMar>
            <w:shd w:fill="EAF1F7"/>
          </w:tcPr>
          <w:p>
            <w:pPr>
              <w:spacing w:after="0" w:line="252" w:lineRule="auto"/>
            </w:pPr>
            <w:r>
              <w:rPr>
                <w:rFonts w:ascii="Arial" w:hAnsi="Arial"/>
                <w:b w:val="0"/>
                <w:color w:val="000000"/>
                <w:sz w:val="18"/>
              </w:rPr>
              <w:t>Confirm the operating quota and monitor 429 usage before promoting search hand-off broadly.</w:t>
            </w:r>
          </w:p>
        </w:tc>
      </w:tr>
      <w:tr>
        <w:tc>
          <w:tcPr>
            <w:tcW w:type="dxa" w:w="1080"/>
            <w:vAlign w:val="center"/>
            <w:tcMar>
              <w:top w:w="110" w:type="dxa"/>
              <w:start w:w="120" w:type="dxa"/>
              <w:bottom w:w="110" w:type="dxa"/>
              <w:end w:w="120" w:type="dxa"/>
            </w:tcMar>
            <w:shd w:fill="FFFFFF"/>
          </w:tcPr>
          <w:p>
            <w:pPr>
              <w:spacing w:after="0" w:line="252" w:lineRule="auto"/>
              <w:jc w:val="center"/>
            </w:pPr>
            <w:r>
              <w:rPr>
                <w:rFonts w:ascii="Arial" w:hAnsi="Arial"/>
                <w:b w:val="0"/>
                <w:color w:val="000000"/>
                <w:sz w:val="18"/>
              </w:rPr>
              <w:t>Methodology</w:t>
            </w:r>
          </w:p>
        </w:tc>
        <w:tc>
          <w:tcPr>
            <w:tcW w:type="dxa" w:w="3528"/>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No defensible ESG or SDG composite score</w:t>
            </w:r>
          </w:p>
        </w:tc>
        <w:tc>
          <w:tcPr>
            <w:tcW w:type="dxa" w:w="4752"/>
            <w:vAlign w:val="center"/>
            <w:tcMar>
              <w:top w:w="110" w:type="dxa"/>
              <w:start w:w="120" w:type="dxa"/>
              <w:bottom w:w="110" w:type="dxa"/>
              <w:end w:w="120" w:type="dxa"/>
            </w:tcMar>
            <w:shd w:fill="FFFFFF"/>
          </w:tcPr>
          <w:p>
            <w:pPr>
              <w:spacing w:after="0" w:line="252" w:lineRule="auto"/>
            </w:pPr>
            <w:r>
              <w:rPr>
                <w:rFonts w:ascii="Arial" w:hAnsi="Arial"/>
                <w:b w:val="0"/>
                <w:color w:val="000000"/>
                <w:sz w:val="18"/>
              </w:rPr>
              <w:t>Do not add composite map layers until the supervisor approves a transparent weighting method.</w:t>
            </w:r>
          </w:p>
        </w:tc>
      </w:tr>
    </w:tbl>
    <w:p>
      <w:pPr>
        <w:spacing w:after="40"/>
      </w:pPr>
    </w:p>
    <w:p>
      <w:pPr>
        <w:pStyle w:val="Heading1"/>
        <w:keepNext/>
      </w:pPr>
      <w:r>
        <w:rPr>
          <w:rFonts w:ascii="Arial" w:hAnsi="Arial"/>
          <w:b w:val="0"/>
          <w:color w:val="000000"/>
          <w:sz w:val="48"/>
        </w:rPr>
        <w:t>Conclusion</w:t>
      </w:r>
    </w:p>
    <w:p>
      <w:pPr>
        <w:keepLines/>
        <w:spacing w:after="120" w:line="271" w:lineRule="auto"/>
      </w:pPr>
      <w:r>
        <w:rPr>
          <w:rFonts w:ascii="Arial" w:hAnsi="Arial"/>
          <w:color w:val="000000"/>
          <w:sz w:val="21"/>
        </w:rPr>
        <w:t>Wave 3 moved Borneo Tracker from displaying scores toward explaining decisions. Users can inspect the evidence behind a pillar, see comparable change over time, understand the weakest link, and move into a relevant simulation. The implementation also strengthened the project's most important trust rules: preserve provenance, expose uncertainty, and never replace missing data with a plausible number.</w:t>
      </w:r>
    </w:p>
    <w:p>
      <w:pPr>
        <w:sectPr>
          <w:pgSz w:h="15840" w:w="12240"/>
          <w:pgMar w:bottom="1440" w:top="1440" w:left="1440" w:right="1440" w:header="720" w:footer="720"/>
        </w:sectPr>
      </w:pPr>
    </w:p>
    <w:p>
      <w:pPr>
        <w:pStyle w:val="Heading1"/>
        <w:keepNext/>
      </w:pPr>
      <w:r>
        <w:rPr>
          <w:rFonts w:ascii="Arial" w:hAnsi="Arial"/>
          <w:b w:val="0"/>
          <w:color w:val="000000"/>
          <w:sz w:val="48"/>
        </w:rPr>
        <w:t>Appendix</w:t>
      </w:r>
    </w:p>
    <w:p>
      <w:pPr>
        <w:pStyle w:val="Heading2"/>
        <w:keepNext/>
      </w:pPr>
      <w:r>
        <w:rPr>
          <w:rFonts w:ascii="Arial" w:hAnsi="Arial"/>
          <w:b w:val="0"/>
          <w:color w:val="000000"/>
          <w:sz w:val="30"/>
        </w:rPr>
        <w:t>Ticket Map</w:t>
      </w:r>
    </w:p>
    <w:p>
      <w:pPr>
        <w:keepLines/>
        <w:spacing w:after="120" w:line="271" w:lineRule="auto"/>
      </w:pPr>
      <w:r>
        <w:rPr>
          <w:rFonts w:ascii="Arial" w:hAnsi="Arial"/>
          <w:color w:val="000000"/>
          <w:sz w:val="21"/>
        </w:rPr>
        <w:t>Delivered tickets: BT-12, BT-14, BT-16b, BT-18, BT-19, BT-20, BT-22, BT-23, BT-24, BT-25, BT-26, and BT-27.</w:t>
      </w:r>
    </w:p>
    <w:p>
      <w:pPr>
        <w:pStyle w:val="Heading2"/>
        <w:keepNext/>
      </w:pPr>
      <w:r>
        <w:rPr>
          <w:rFonts w:ascii="Arial" w:hAnsi="Arial"/>
          <w:b w:val="0"/>
          <w:color w:val="000000"/>
          <w:sz w:val="30"/>
        </w:rPr>
        <w:t>Repository Evidence</w:t>
      </w:r>
    </w:p>
    <w:p>
      <w:pPr>
        <w:spacing w:after="40"/>
        <w:ind w:left="317" w:hanging="230"/>
      </w:pPr>
      <w:r>
        <w:rPr>
          <w:rFonts w:ascii="Arial" w:hAnsi="Arial"/>
          <w:color w:val="000000"/>
          <w:sz w:val="18"/>
        </w:rPr>
        <w:t xml:space="preserve">• </w:t>
      </w:r>
      <w:r>
        <w:rPr>
          <w:rFonts w:ascii="Courier New" w:hAnsi="Courier New"/>
          <w:color w:val="000000"/>
          <w:sz w:val="18"/>
        </w:rPr>
        <w:t>docs/CLIENT_FEEDBACK_2026-08-15_ACTION_PLAN.md</w:t>
      </w:r>
    </w:p>
    <w:p>
      <w:pPr>
        <w:spacing w:after="40"/>
        <w:ind w:left="317" w:hanging="230"/>
      </w:pPr>
      <w:r>
        <w:rPr>
          <w:rFonts w:ascii="Arial" w:hAnsi="Arial"/>
          <w:color w:val="000000"/>
          <w:sz w:val="18"/>
        </w:rPr>
        <w:t xml:space="preserve">• </w:t>
      </w:r>
      <w:r>
        <w:rPr>
          <w:rFonts w:ascii="Courier New" w:hAnsi="Courier New"/>
          <w:color w:val="000000"/>
          <w:sz w:val="18"/>
        </w:rPr>
        <w:t>docs/WAVE_3_EXECUTION_AND_FIXING_PLAN.md</w:t>
      </w:r>
    </w:p>
    <w:p>
      <w:pPr>
        <w:spacing w:after="40"/>
        <w:ind w:left="317" w:hanging="230"/>
      </w:pPr>
      <w:r>
        <w:rPr>
          <w:rFonts w:ascii="Arial" w:hAnsi="Arial"/>
          <w:color w:val="000000"/>
          <w:sz w:val="18"/>
        </w:rPr>
        <w:t xml:space="preserve">• </w:t>
      </w:r>
      <w:r>
        <w:rPr>
          <w:rFonts w:ascii="Courier New" w:hAnsi="Courier New"/>
          <w:color w:val="000000"/>
          <w:sz w:val="18"/>
        </w:rPr>
        <w:t>docs/CLIENT_FEEDBACK_RESPONSE_2026-08-24.md</w:t>
      </w:r>
    </w:p>
    <w:p>
      <w:pPr>
        <w:spacing w:after="40"/>
        <w:ind w:left="317" w:hanging="230"/>
      </w:pPr>
      <w:r>
        <w:rPr>
          <w:rFonts w:ascii="Arial" w:hAnsi="Arial"/>
          <w:color w:val="000000"/>
          <w:sz w:val="18"/>
        </w:rPr>
        <w:t xml:space="preserve">• </w:t>
      </w:r>
      <w:r>
        <w:rPr>
          <w:rFonts w:ascii="Courier New" w:hAnsi="Courier New"/>
          <w:color w:val="000000"/>
          <w:sz w:val="18"/>
        </w:rPr>
        <w:t>PROGRESS_REPORT.md</w:t>
      </w:r>
    </w:p>
    <w:p>
      <w:pPr>
        <w:spacing w:after="40"/>
        <w:ind w:left="317" w:hanging="230"/>
      </w:pPr>
      <w:r>
        <w:rPr>
          <w:rFonts w:ascii="Arial" w:hAnsi="Arial"/>
          <w:color w:val="000000"/>
          <w:sz w:val="18"/>
        </w:rPr>
        <w:t xml:space="preserve">• </w:t>
      </w:r>
      <w:r>
        <w:rPr>
          <w:rFonts w:ascii="Courier New" w:hAnsi="Courier New"/>
          <w:color w:val="000000"/>
          <w:sz w:val="18"/>
        </w:rPr>
        <w:t>public/data/sources.json</w:t>
      </w:r>
    </w:p>
    <w:p>
      <w:pPr>
        <w:spacing w:after="40"/>
        <w:ind w:left="317" w:hanging="230"/>
      </w:pPr>
      <w:r>
        <w:rPr>
          <w:rFonts w:ascii="Arial" w:hAnsi="Arial"/>
          <w:color w:val="000000"/>
          <w:sz w:val="18"/>
        </w:rPr>
        <w:t xml:space="preserve">• </w:t>
      </w:r>
      <w:r>
        <w:rPr>
          <w:rFonts w:ascii="Courier New" w:hAnsi="Courier New"/>
          <w:color w:val="000000"/>
          <w:sz w:val="18"/>
        </w:rPr>
        <w:t>public/data/resilience_history.json</w:t>
      </w:r>
    </w:p>
    <w:p>
      <w:pPr>
        <w:spacing w:after="40"/>
        <w:ind w:left="317" w:hanging="230"/>
      </w:pPr>
      <w:r>
        <w:rPr>
          <w:rFonts w:ascii="Arial" w:hAnsi="Arial"/>
          <w:color w:val="000000"/>
          <w:sz w:val="18"/>
        </w:rPr>
        <w:t xml:space="preserve">• </w:t>
      </w:r>
      <w:r>
        <w:rPr>
          <w:rFonts w:ascii="Courier New" w:hAnsi="Courier New"/>
          <w:color w:val="000000"/>
          <w:sz w:val="18"/>
        </w:rPr>
        <w:t>src/components/AnswerStrip.jsx</w:t>
      </w:r>
    </w:p>
    <w:p>
      <w:pPr>
        <w:spacing w:after="40"/>
        <w:ind w:left="317" w:hanging="230"/>
      </w:pPr>
      <w:r>
        <w:rPr>
          <w:rFonts w:ascii="Arial" w:hAnsi="Arial"/>
          <w:color w:val="000000"/>
          <w:sz w:val="18"/>
        </w:rPr>
        <w:t xml:space="preserve">• </w:t>
      </w:r>
      <w:r>
        <w:rPr>
          <w:rFonts w:ascii="Courier New" w:hAnsi="Courier New"/>
          <w:color w:val="000000"/>
          <w:sz w:val="18"/>
        </w:rPr>
        <w:t>src/components/PillarDrilldownModal.jsx</w:t>
      </w:r>
    </w:p>
    <w:p>
      <w:pPr>
        <w:spacing w:after="40"/>
        <w:ind w:left="317" w:hanging="230"/>
      </w:pPr>
      <w:r>
        <w:rPr>
          <w:rFonts w:ascii="Arial" w:hAnsi="Arial"/>
          <w:color w:val="000000"/>
          <w:sz w:val="18"/>
        </w:rPr>
        <w:t xml:space="preserve">• </w:t>
      </w:r>
      <w:r>
        <w:rPr>
          <w:rFonts w:ascii="Courier New" w:hAnsi="Courier New"/>
          <w:color w:val="000000"/>
          <w:sz w:val="18"/>
        </w:rPr>
        <w:t>src/utils/momentum.js</w:t>
      </w:r>
    </w:p>
    <w:p>
      <w:pPr>
        <w:spacing w:after="40"/>
        <w:ind w:left="317" w:hanging="230"/>
      </w:pPr>
      <w:r>
        <w:rPr>
          <w:rFonts w:ascii="Arial" w:hAnsi="Arial"/>
          <w:color w:val="000000"/>
          <w:sz w:val="18"/>
        </w:rPr>
        <w:t xml:space="preserve">• </w:t>
      </w:r>
      <w:r>
        <w:rPr>
          <w:rFonts w:ascii="Courier New" w:hAnsi="Courier New"/>
          <w:color w:val="000000"/>
          <w:sz w:val="18"/>
        </w:rPr>
        <w:t>src/data/useAnswerStrip.js</w:t>
      </w:r>
    </w:p>
    <w:sectPr>
      <w:pgSz w:h="15840" w:w="12240"/>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Borneo Tracker Wave 3</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1"/>
    </w:rPr>
  </w:style>
  <w:style w:type="paragraph" w:styleId="Heading1">
    <w:name w:val="heading 1"/>
    <w:basedOn w:val="Normal"/>
    <w:next w:val="Normal"/>
    <w:pPr>
      <w:keepNext w:val="1"/>
      <w:keepLines w:val="1"/>
      <w:spacing w:after="200" w:before="360" w:lineRule="auto"/>
    </w:pPr>
    <w:rPr>
      <w:rFonts w:ascii="Arial" w:cs="Helvetica Neue" w:eastAsia="Helvetica Neue" w:hAnsi="Arial"/>
      <w:b w:val="0"/>
      <w:bCs w:val="0"/>
      <w:color w:val="000000"/>
      <w:sz w:val="48"/>
      <w:szCs w:val="48"/>
    </w:rPr>
  </w:style>
  <w:style w:type="paragraph" w:styleId="Heading2">
    <w:name w:val="heading 2"/>
    <w:basedOn w:val="Normal"/>
    <w:next w:val="Normal"/>
    <w:pPr>
      <w:keepNext w:val="1"/>
      <w:keepLines w:val="1"/>
      <w:spacing w:after="120" w:before="280" w:lineRule="auto"/>
    </w:pPr>
    <w:rPr>
      <w:rFonts w:ascii="Arial" w:cs="Helvetica Neue" w:eastAsia="Helvetica Neue" w:hAnsi="Arial"/>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Arial" w:hAnsi="Arial"/>
      <w:b/>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Borneo Tracker Wave 3 Development Report</dc:title>
  <cp:lastModifiedBy>python-docx</cp:lastModifiedBy>
  <cp:revision>1</cp:revision>
  <dcterms:modified xsi:type="dcterms:W3CDTF">2026-09-04T12:08:42Z</dcterms:modified>
  <dc:subject>Wave 3 bug fixes front end improvements and validation evidence</dc:subject>
  <dc:creator>Borneo Tracker Development Team</dc:creator>
  <cp:keywords>Borneo Tracker, Wave 3, Resilience Index, ABCDE, True Wealth Hexagon</cp:keywords>
</cp:coreProperties>
</file>