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003641"/>
          <w:sz w:val="48"/>
        </w:rPr>
        <w:t>SOFTWARE REQUIREMENTS SPECIFICATION</w:t>
      </w:r>
    </w:p>
    <w:p>
      <w:pPr>
        <w:jc w:val="center"/>
      </w:pPr>
      <w:r>
        <w:rPr>
          <w:b w:val="0"/>
          <w:i w:val="0"/>
          <w:sz w:val="26"/>
        </w:rPr>
        <w:t>for</w:t>
      </w:r>
    </w:p>
    <w:p>
      <w:pPr>
        <w:jc w:val="center"/>
      </w:pPr>
      <w:r>
        <w:rPr>
          <w:b/>
          <w:i w:val="0"/>
          <w:color w:val="1F3864"/>
          <w:sz w:val="40"/>
        </w:rPr>
        <w:t>Borneo Tracker (Project T002)</w:t>
      </w:r>
    </w:p>
    <w:p>
      <w:pPr>
        <w:jc w:val="center"/>
      </w:pPr>
      <w:r>
        <w:rPr>
          <w:b w:val="0"/>
          <w:i/>
          <w:sz w:val="24"/>
        </w:rPr>
        <w:t>A Public ESG &amp; SDG Sustainability and True-Wealth Resilience Platform for the Borneo Megaregion</w:t>
      </w:r>
    </w:p>
    <w:p/>
    <w:p/>
    <w:p/>
    <w:p>
      <w:pPr>
        <w:jc w:val="center"/>
      </w:pPr>
      <w:r>
        <w:rPr>
          <w:b/>
          <w:i w:val="0"/>
          <w:sz w:val="24"/>
        </w:rPr>
        <w:t>Version 1.0</w:t>
      </w:r>
    </w:p>
    <w:p>
      <w:pPr>
        <w:jc w:val="center"/>
      </w:pPr>
      <w:r>
        <w:rPr>
          <w:b w:val="0"/>
          <w:i w:val="0"/>
          <w:sz w:val="22"/>
        </w:rPr>
        <w:t>Prepared: 20 July 2026</w:t>
      </w:r>
    </w:p>
    <w:p/>
    <w:p/>
    <w:p>
      <w:pPr>
        <w:jc w:val="center"/>
      </w:pPr>
      <w:r>
        <w:rPr>
          <w:b w:val="0"/>
          <w:i w:val="0"/>
          <w:sz w:val="22"/>
        </w:rPr>
        <w:t>Prepared by: Henry Chin Jian Hong (Project Manager)</w:t>
      </w:r>
    </w:p>
    <w:p>
      <w:pPr>
        <w:jc w:val="center"/>
      </w:pPr>
      <w:r>
        <w:rPr>
          <w:b w:val="0"/>
          <w:i w:val="0"/>
          <w:sz w:val="22"/>
        </w:rPr>
        <w:t>Team members: Tay Yong Sheng, Tee Zhi Ying, Angel Yap Yoon Ying</w:t>
      </w:r>
    </w:p>
    <w:p>
      <w:pPr>
        <w:jc w:val="center"/>
      </w:pPr>
      <w:r>
        <w:rPr>
          <w:b w:val="0"/>
          <w:i w:val="0"/>
          <w:sz w:val="22"/>
        </w:rPr>
        <w:t>Client: Mr. Koh How Sze (BSYS Solution)</w:t>
      </w:r>
    </w:p>
    <w:p>
      <w:pPr>
        <w:jc w:val="center"/>
      </w:pPr>
      <w:r>
        <w:rPr>
          <w:b w:val="0"/>
          <w:i w:val="0"/>
          <w:sz w:val="22"/>
        </w:rPr>
        <w:t>Supervisor (Lecturer): [To be completed]</w:t>
      </w:r>
    </w:p>
    <w:p>
      <w:pPr>
        <w:jc w:val="center"/>
      </w:pPr>
      <w:r>
        <w:rPr>
          <w:b w:val="0"/>
          <w:i w:val="0"/>
          <w:sz w:val="22"/>
        </w:rPr>
        <w:t>Repository: https://github.com/angelyong/Borneo_Tracker</w:t>
      </w:r>
    </w:p>
    <w:p>
      <w:r>
        <w:br w:type="page"/>
      </w:r>
    </w:p>
    <w:p>
      <w:pPr>
        <w:pStyle w:val="Heading1"/>
      </w:pPr>
      <w:r>
        <w:t>Table of Contents</w:t>
      </w:r>
    </w:p>
    <w:p>
      <w:pPr>
        <w:spacing w:after="40"/>
      </w:pPr>
      <w:r>
        <w:t>1. Introduction</w:t>
      </w:r>
    </w:p>
    <w:p>
      <w:pPr>
        <w:spacing w:after="40"/>
      </w:pPr>
      <w:r>
        <w:t xml:space="preserve">   1.1 Purpose</w:t>
      </w:r>
    </w:p>
    <w:p>
      <w:pPr>
        <w:spacing w:after="40"/>
      </w:pPr>
      <w:r>
        <w:t xml:space="preserve">   1.2 Document Conventions</w:t>
      </w:r>
    </w:p>
    <w:p>
      <w:pPr>
        <w:spacing w:after="40"/>
      </w:pPr>
      <w:r>
        <w:t xml:space="preserve">   1.3 Intended Audience and Reading Suggestions</w:t>
      </w:r>
    </w:p>
    <w:p>
      <w:pPr>
        <w:spacing w:after="40"/>
      </w:pPr>
      <w:r>
        <w:t xml:space="preserve">   1.4 Product Scope</w:t>
      </w:r>
    </w:p>
    <w:p>
      <w:pPr>
        <w:spacing w:after="40"/>
      </w:pPr>
      <w:r>
        <w:t xml:space="preserve">   1.5 Definitions, Acronyms and Abbreviations</w:t>
      </w:r>
    </w:p>
    <w:p>
      <w:pPr>
        <w:spacing w:after="40"/>
      </w:pPr>
      <w:r>
        <w:t xml:space="preserve">   1.6 References</w:t>
      </w:r>
    </w:p>
    <w:p>
      <w:pPr>
        <w:spacing w:after="40"/>
      </w:pPr>
      <w:r>
        <w:t>2. Overall Description</w:t>
      </w:r>
    </w:p>
    <w:p>
      <w:pPr>
        <w:spacing w:after="40"/>
      </w:pPr>
      <w:r>
        <w:t xml:space="preserve">   2.1 Product Perspective</w:t>
      </w:r>
    </w:p>
    <w:p>
      <w:pPr>
        <w:spacing w:after="40"/>
      </w:pPr>
      <w:r>
        <w:t xml:space="preserve">   2.2 Product Functions</w:t>
      </w:r>
    </w:p>
    <w:p>
      <w:pPr>
        <w:spacing w:after="40"/>
      </w:pPr>
      <w:r>
        <w:t xml:space="preserve">   2.3 User Classes and Characteristics</w:t>
      </w:r>
    </w:p>
    <w:p>
      <w:pPr>
        <w:spacing w:after="40"/>
      </w:pPr>
      <w:r>
        <w:t xml:space="preserve">   2.4 Operating Environment</w:t>
      </w:r>
    </w:p>
    <w:p>
      <w:pPr>
        <w:spacing w:after="40"/>
      </w:pPr>
      <w:r>
        <w:t xml:space="preserve">   2.5 Design and Implementation Constraints</w:t>
      </w:r>
    </w:p>
    <w:p>
      <w:pPr>
        <w:spacing w:after="40"/>
      </w:pPr>
      <w:r>
        <w:t xml:space="preserve">   2.6 User Documentation</w:t>
      </w:r>
    </w:p>
    <w:p>
      <w:pPr>
        <w:spacing w:after="40"/>
      </w:pPr>
      <w:r>
        <w:t xml:space="preserve">   2.7 Assumptions and Dependencies</w:t>
      </w:r>
    </w:p>
    <w:p>
      <w:pPr>
        <w:spacing w:after="40"/>
      </w:pPr>
      <w:r>
        <w:t>3. External Interface Requirements</w:t>
      </w:r>
    </w:p>
    <w:p>
      <w:pPr>
        <w:spacing w:after="40"/>
      </w:pPr>
      <w:r>
        <w:t xml:space="preserve">   3.1 User Interfaces</w:t>
      </w:r>
    </w:p>
    <w:p>
      <w:pPr>
        <w:spacing w:after="40"/>
      </w:pPr>
      <w:r>
        <w:t xml:space="preserve">   3.2 Hardware Interfaces</w:t>
      </w:r>
    </w:p>
    <w:p>
      <w:pPr>
        <w:spacing w:after="40"/>
      </w:pPr>
      <w:r>
        <w:t xml:space="preserve">   3.3 Software Interfaces</w:t>
      </w:r>
    </w:p>
    <w:p>
      <w:pPr>
        <w:spacing w:after="40"/>
      </w:pPr>
      <w:r>
        <w:t xml:space="preserve">   3.4 Communications Interfaces</w:t>
      </w:r>
    </w:p>
    <w:p>
      <w:pPr>
        <w:spacing w:after="40"/>
      </w:pPr>
      <w:r>
        <w:t>4. System Features (Functional Requirements)</w:t>
      </w:r>
    </w:p>
    <w:p>
      <w:pPr>
        <w:spacing w:after="40"/>
      </w:pPr>
      <w:r>
        <w:t xml:space="preserve">   4.1 Interactive Dashboard and Map</w:t>
      </w:r>
    </w:p>
    <w:p>
      <w:pPr>
        <w:spacing w:after="40"/>
      </w:pPr>
      <w:r>
        <w:t xml:space="preserve">   4.2 Regional Details and Historical Trends</w:t>
      </w:r>
    </w:p>
    <w:p>
      <w:pPr>
        <w:spacing w:after="40"/>
      </w:pPr>
      <w:r>
        <w:t xml:space="preserve">   4.3 ESG Indicator Explorer</w:t>
      </w:r>
    </w:p>
    <w:p>
      <w:pPr>
        <w:spacing w:after="40"/>
      </w:pPr>
      <w:r>
        <w:t xml:space="preserve">   4.4 SDG Progress Explorer</w:t>
      </w:r>
    </w:p>
    <w:p>
      <w:pPr>
        <w:spacing w:after="40"/>
      </w:pPr>
      <w:r>
        <w:t xml:space="preserve">   4.5 Resilience Index and True Wealth Hexagon</w:t>
      </w:r>
    </w:p>
    <w:p>
      <w:pPr>
        <w:spacing w:after="40"/>
      </w:pPr>
      <w:r>
        <w:t xml:space="preserve">   4.6 Data Integration and ETL Pipeline</w:t>
      </w:r>
    </w:p>
    <w:p>
      <w:pPr>
        <w:spacing w:after="40"/>
      </w:pPr>
      <w:r>
        <w:t xml:space="preserve">   4.7 News and Insights (Borneo Pulse)</w:t>
      </w:r>
    </w:p>
    <w:p>
      <w:pPr>
        <w:spacing w:after="40"/>
      </w:pPr>
      <w:r>
        <w:t xml:space="preserve">   4.8 Community</w:t>
      </w:r>
    </w:p>
    <w:p>
      <w:pPr>
        <w:spacing w:after="40"/>
      </w:pPr>
      <w:r>
        <w:t xml:space="preserve">   4.9 Report Generation and Data Export</w:t>
      </w:r>
    </w:p>
    <w:p>
      <w:pPr>
        <w:spacing w:after="40"/>
      </w:pPr>
      <w:r>
        <w:t xml:space="preserve">   4.10 Authentication and Access Control</w:t>
      </w:r>
    </w:p>
    <w:p>
      <w:pPr>
        <w:spacing w:after="40"/>
      </w:pPr>
      <w:r>
        <w:t xml:space="preserve">   4.11 Administrative Back-office</w:t>
      </w:r>
    </w:p>
    <w:p>
      <w:pPr>
        <w:spacing w:after="40"/>
      </w:pPr>
      <w:r>
        <w:t xml:space="preserve">   4.12 Theming and Internationalisation</w:t>
      </w:r>
    </w:p>
    <w:p>
      <w:pPr>
        <w:spacing w:after="40"/>
      </w:pPr>
      <w:r>
        <w:t xml:space="preserve">   4.13 AI Sustainability Assistant (Planned)</w:t>
      </w:r>
    </w:p>
    <w:p>
      <w:pPr>
        <w:spacing w:after="40"/>
      </w:pPr>
      <w:r>
        <w:t xml:space="preserve">   4.14 Blockchain Integration (Planned)</w:t>
      </w:r>
    </w:p>
    <w:p>
      <w:pPr>
        <w:spacing w:after="40"/>
      </w:pPr>
      <w:r>
        <w:t>5. Other Non-functional Requirements</w:t>
      </w:r>
    </w:p>
    <w:p>
      <w:pPr>
        <w:spacing w:after="40"/>
      </w:pPr>
      <w:r>
        <w:t xml:space="preserve">   5.1 Performance Requirements</w:t>
      </w:r>
    </w:p>
    <w:p>
      <w:pPr>
        <w:spacing w:after="40"/>
      </w:pPr>
      <w:r>
        <w:t xml:space="preserve">   5.2 Safety Requirements</w:t>
      </w:r>
    </w:p>
    <w:p>
      <w:pPr>
        <w:spacing w:after="40"/>
      </w:pPr>
      <w:r>
        <w:t xml:space="preserve">   5.3 Security Requirements</w:t>
      </w:r>
    </w:p>
    <w:p>
      <w:pPr>
        <w:spacing w:after="40"/>
      </w:pPr>
      <w:r>
        <w:t xml:space="preserve">   5.4 Software Quality Attributes</w:t>
      </w:r>
    </w:p>
    <w:p>
      <w:pPr>
        <w:spacing w:after="40"/>
      </w:pPr>
      <w:r>
        <w:t xml:space="preserve">   5.5 Business Rules</w:t>
      </w:r>
    </w:p>
    <w:p>
      <w:pPr>
        <w:spacing w:after="40"/>
      </w:pPr>
      <w:r>
        <w:t>6. Other Requirements</w:t>
      </w:r>
    </w:p>
    <w:p>
      <w:pPr>
        <w:spacing w:after="40"/>
      </w:pPr>
      <w:r>
        <w:t xml:space="preserve">   6.1 Data Requirements</w:t>
      </w:r>
    </w:p>
    <w:p>
      <w:pPr>
        <w:spacing w:after="40"/>
      </w:pPr>
      <w:r>
        <w:t xml:space="preserve">   6.2 Deployment and Production Requirements</w:t>
      </w:r>
    </w:p>
    <w:p>
      <w:pPr>
        <w:spacing w:after="40"/>
      </w:pPr>
      <w:r>
        <w:t xml:space="preserve">   6.3 Future Enhancements</w:t>
      </w:r>
    </w:p>
    <w:p>
      <w:pPr>
        <w:spacing w:after="40"/>
      </w:pPr>
      <w:r>
        <w:t>Appendix A: Glossary</w:t>
      </w:r>
    </w:p>
    <w:p>
      <w:pPr>
        <w:spacing w:after="40"/>
      </w:pPr>
      <w:r>
        <w:t>Appendix B: Analysis Model (Data Flow)</w:t>
      </w:r>
    </w:p>
    <w:p>
      <w:pPr>
        <w:spacing w:after="40"/>
      </w:pPr>
      <w:r>
        <w:t>Appendix C: To Be Determined (TBD) List</w:t>
      </w:r>
    </w:p>
    <w:p>
      <w:r>
        <w:br w:type="page"/>
      </w:r>
    </w:p>
    <w:p>
      <w:pPr>
        <w:pStyle w:val="Heading1"/>
      </w:pPr>
      <w:r>
        <w:t>1. Introduction</w:t>
      </w:r>
    </w:p>
    <w:p>
      <w:pPr>
        <w:pStyle w:val="Heading2"/>
      </w:pPr>
      <w:r>
        <w:t>1.1 Purpose</w:t>
      </w:r>
    </w:p>
    <w:p>
      <w:r>
        <w:rPr>
          <w:b w:val="0"/>
          <w:i w:val="0"/>
        </w:rPr>
        <w:t>This Software Requirements Specification (SRS) defines the functional and non-functional requirements of the Borneo Tracker platform (internal project code T002). The document describes the current, implemented behaviour of the system as well as the modules planned for the next development phase. It is intended to serve as the agreed reference between the development team, the client and the supervisor, and as the basis for design, implementation, testing and future maintenance of the system. This SRS covers Version 1.0 of the platform.</w:t>
      </w:r>
    </w:p>
    <w:p>
      <w:pPr>
        <w:pStyle w:val="Heading2"/>
      </w:pPr>
      <w:r>
        <w:t>1.2 Document Conventions</w:t>
      </w:r>
    </w:p>
    <w:p>
      <w:r>
        <w:rPr>
          <w:b w:val="0"/>
          <w:i w:val="0"/>
        </w:rPr>
        <w:t>This document follows the IEEE 830 recommended practice for software requirements specifications. Functional requirements are given unique identifiers of the form FR-XXX-nn, and non-functional requirements the form NFR-XX-nn. Each requirement is stated so that it can be individually verified. Requirement priority is indicated as High, Medium or Low. Requirements describing capabilities not yet built are explicitly marked "(Planned)".</w:t>
      </w:r>
    </w:p>
    <w:p>
      <w:pPr>
        <w:pStyle w:val="Heading2"/>
      </w:pPr>
      <w:r>
        <w:t>1.3 Intended Audience and Reading Suggestions</w:t>
      </w:r>
    </w:p>
    <w:p>
      <w:r>
        <w:rPr>
          <w:b w:val="0"/>
          <w:i w:val="0"/>
        </w:rPr>
        <w:t>The intended audience of this document includes:</w:t>
      </w:r>
    </w:p>
    <w:p>
      <w:pPr>
        <w:pStyle w:val="ListBullet"/>
      </w:pPr>
      <w:r>
        <w:t>The development team — for design, implementation and testing.</w:t>
      </w:r>
    </w:p>
    <w:p>
      <w:pPr>
        <w:pStyle w:val="ListBullet"/>
      </w:pPr>
      <w:r>
        <w:t>The client (Mr. Koh How Sze, BSYS Solution) — to confirm that the requirements reflect the intended vision of the ABCDE Framework and the True Wealth Hexagon.</w:t>
      </w:r>
    </w:p>
    <w:p>
      <w:pPr>
        <w:pStyle w:val="ListBullet"/>
      </w:pPr>
      <w:r>
        <w:t>The supervisor / lecturer — for academic assessment and guidance.</w:t>
      </w:r>
    </w:p>
    <w:p>
      <w:pPr>
        <w:pStyle w:val="ListBullet"/>
      </w:pPr>
      <w:r>
        <w:t>Future maintainers — for understanding the system during the maintenance phase.</w:t>
      </w:r>
    </w:p>
    <w:p>
      <w:r>
        <w:rPr>
          <w:b w:val="0"/>
          <w:i w:val="0"/>
        </w:rPr>
        <w:t>Readers seeking a high-level understanding should begin with Sections 1 and 2. Readers concerned with detailed behaviour should focus on Sections 3 to 5.</w:t>
      </w:r>
    </w:p>
    <w:p>
      <w:pPr>
        <w:pStyle w:val="Heading2"/>
      </w:pPr>
      <w:r>
        <w:t>1.4 Product Scope</w:t>
      </w:r>
    </w:p>
    <w:p>
      <w:r>
        <w:rPr>
          <w:b w:val="0"/>
          <w:i w:val="0"/>
        </w:rPr>
        <w:t>Borneo Tracker is a public, web-based data platform that consolidates and visualises Environmental, Social and Governance (ESG) indicators together with United Nations Sustainable Development Goal (SDG) progress for the four territories of the Borneo megaregion: Sabah, Sarawak, Brunei and Kalimantan. Beyond conventional indicators, the platform measures each territory’s resilience across six foundational pillars of human survival — Food, Energy, Education, Shelter, Healthcare and Entertainment — through a Resilience Index that reflects "true wealth" rather than monetary ("paper") wealth. The platform is an element in operationalising the economic theories described in the client’s book, "The ABCDE Framework in The True Wealth Hexagon". The system automatically collects data from public open-data sources, presents it through an interactive dashboard and map, generates reports, and provides an AI-assisted sustainability news digest with administrative review.</w:t>
      </w:r>
    </w:p>
    <w:p>
      <w:pPr>
        <w:pStyle w:val="Heading2"/>
      </w:pPr>
      <w:r>
        <w:t>1.5 Definitions, Acronyms and Abbreviations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Term</w:t>
            </w:r>
          </w:p>
        </w:tc>
        <w:tc>
          <w:tcPr>
            <w:tcW w:type="dxa" w:w="4320"/>
          </w:tcPr>
          <w:p>
            <w:r/>
            <w:r>
              <w:rPr>
                <w:b/>
                <w:sz w:val="20"/>
              </w:rPr>
              <w:t>Definition</w:t>
            </w:r>
          </w:p>
        </w:tc>
      </w:tr>
      <w:tr>
        <w:tc>
          <w:tcPr>
            <w:tcW w:type="dxa" w:w="4320"/>
          </w:tcPr>
          <w:p>
            <w:r/>
            <w:r>
              <w:rPr>
                <w:sz w:val="20"/>
              </w:rPr>
              <w:t>ESG</w:t>
            </w:r>
          </w:p>
        </w:tc>
        <w:tc>
          <w:tcPr>
            <w:tcW w:type="dxa" w:w="4320"/>
          </w:tcPr>
          <w:p>
            <w:r/>
            <w:r>
              <w:rPr>
                <w:sz w:val="20"/>
              </w:rPr>
              <w:t>Environmental, Social and Governance — a framework of sustainability indicators.</w:t>
            </w:r>
          </w:p>
        </w:tc>
      </w:tr>
      <w:tr>
        <w:tc>
          <w:tcPr>
            <w:tcW w:type="dxa" w:w="4320"/>
          </w:tcPr>
          <w:p>
            <w:r/>
            <w:r>
              <w:rPr>
                <w:sz w:val="20"/>
              </w:rPr>
              <w:t>SDG</w:t>
            </w:r>
          </w:p>
        </w:tc>
        <w:tc>
          <w:tcPr>
            <w:tcW w:type="dxa" w:w="4320"/>
          </w:tcPr>
          <w:p>
            <w:r/>
            <w:r>
              <w:rPr>
                <w:sz w:val="20"/>
              </w:rPr>
              <w:t>Sustainable Development Goal — one of the 17 United Nations global goals.</w:t>
            </w:r>
          </w:p>
        </w:tc>
      </w:tr>
      <w:tr>
        <w:tc>
          <w:tcPr>
            <w:tcW w:type="dxa" w:w="4320"/>
          </w:tcPr>
          <w:p>
            <w:r/>
            <w:r>
              <w:rPr>
                <w:sz w:val="20"/>
              </w:rPr>
              <w:t>ABCDE Framework</w:t>
            </w:r>
          </w:p>
        </w:tc>
        <w:tc>
          <w:tcPr>
            <w:tcW w:type="dxa" w:w="4320"/>
          </w:tcPr>
          <w:p>
            <w:r/>
            <w:r>
              <w:rPr>
                <w:sz w:val="20"/>
              </w:rPr>
              <w:t>The client’s framework: AI, Blockchain, Connectivity, Data, Ethics.</w:t>
            </w:r>
          </w:p>
        </w:tc>
      </w:tr>
      <w:tr>
        <w:tc>
          <w:tcPr>
            <w:tcW w:type="dxa" w:w="4320"/>
          </w:tcPr>
          <w:p>
            <w:r/>
            <w:r>
              <w:rPr>
                <w:sz w:val="20"/>
              </w:rPr>
              <w:t>True Wealth Hexagon</w:t>
            </w:r>
          </w:p>
        </w:tc>
        <w:tc>
          <w:tcPr>
            <w:tcW w:type="dxa" w:w="4320"/>
          </w:tcPr>
          <w:p>
            <w:r/>
            <w:r>
              <w:rPr>
                <w:sz w:val="20"/>
              </w:rPr>
              <w:t>Six survival pillars: Food, Energy, Education, Shelter, Healthcare, Entertainment.</w:t>
            </w:r>
          </w:p>
        </w:tc>
      </w:tr>
      <w:tr>
        <w:tc>
          <w:tcPr>
            <w:tcW w:type="dxa" w:w="4320"/>
          </w:tcPr>
          <w:p>
            <w:r/>
            <w:r>
              <w:rPr>
                <w:sz w:val="20"/>
              </w:rPr>
              <w:t>Resilience Index</w:t>
            </w:r>
          </w:p>
        </w:tc>
        <w:tc>
          <w:tcPr>
            <w:tcW w:type="dxa" w:w="4320"/>
          </w:tcPr>
          <w:p>
            <w:r/>
            <w:r>
              <w:rPr>
                <w:sz w:val="20"/>
              </w:rPr>
              <w:t>A 0–100 score measuring a territory’s survival-pillar resilience (weakest-link based).</w:t>
            </w:r>
          </w:p>
        </w:tc>
      </w:tr>
      <w:tr>
        <w:tc>
          <w:tcPr>
            <w:tcW w:type="dxa" w:w="4320"/>
          </w:tcPr>
          <w:p>
            <w:r/>
            <w:r>
              <w:rPr>
                <w:sz w:val="20"/>
              </w:rPr>
              <w:t>RAG</w:t>
            </w:r>
          </w:p>
        </w:tc>
        <w:tc>
          <w:tcPr>
            <w:tcW w:type="dxa" w:w="4320"/>
          </w:tcPr>
          <w:p>
            <w:r/>
            <w:r>
              <w:rPr>
                <w:sz w:val="20"/>
              </w:rPr>
              <w:t>Red / Amber / Green status classification of an indicator or score.</w:t>
            </w:r>
          </w:p>
        </w:tc>
      </w:tr>
      <w:tr>
        <w:tc>
          <w:tcPr>
            <w:tcW w:type="dxa" w:w="4320"/>
          </w:tcPr>
          <w:p>
            <w:r/>
            <w:r>
              <w:rPr>
                <w:sz w:val="20"/>
              </w:rPr>
              <w:t>Territory</w:t>
            </w:r>
          </w:p>
        </w:tc>
        <w:tc>
          <w:tcPr>
            <w:tcW w:type="dxa" w:w="4320"/>
          </w:tcPr>
          <w:p>
            <w:r/>
            <w:r>
              <w:rPr>
                <w:sz w:val="20"/>
              </w:rPr>
              <w:t>One of the four dashboard regions: Sabah, Sarawak, Brunei, Kalimantan.</w:t>
            </w:r>
          </w:p>
        </w:tc>
      </w:tr>
      <w:tr>
        <w:tc>
          <w:tcPr>
            <w:tcW w:type="dxa" w:w="4320"/>
          </w:tcPr>
          <w:p>
            <w:r/>
            <w:r>
              <w:rPr>
                <w:sz w:val="20"/>
              </w:rPr>
              <w:t>ADM1 / ADM2</w:t>
            </w:r>
          </w:p>
        </w:tc>
        <w:tc>
          <w:tcPr>
            <w:tcW w:type="dxa" w:w="4320"/>
          </w:tcPr>
          <w:p>
            <w:r/>
            <w:r>
              <w:rPr>
                <w:sz w:val="20"/>
              </w:rPr>
              <w:t>Administrative level 1 (state/province) / level 2 (district/regency).</w:t>
            </w:r>
          </w:p>
        </w:tc>
      </w:tr>
      <w:tr>
        <w:tc>
          <w:tcPr>
            <w:tcW w:type="dxa" w:w="4320"/>
          </w:tcPr>
          <w:p>
            <w:r/>
            <w:r>
              <w:rPr>
                <w:sz w:val="20"/>
              </w:rPr>
              <w:t>ETL</w:t>
            </w:r>
          </w:p>
        </w:tc>
        <w:tc>
          <w:tcPr>
            <w:tcW w:type="dxa" w:w="4320"/>
          </w:tcPr>
          <w:p>
            <w:r/>
            <w:r>
              <w:rPr>
                <w:sz w:val="20"/>
              </w:rPr>
              <w:t>Extract, Transform, Load — the data ingestion pipeline.</w:t>
            </w:r>
          </w:p>
        </w:tc>
      </w:tr>
      <w:tr>
        <w:tc>
          <w:tcPr>
            <w:tcW w:type="dxa" w:w="4320"/>
          </w:tcPr>
          <w:p>
            <w:r/>
            <w:r>
              <w:rPr>
                <w:sz w:val="20"/>
              </w:rPr>
              <w:t>Canonical row</w:t>
            </w:r>
          </w:p>
        </w:tc>
        <w:tc>
          <w:tcPr>
            <w:tcW w:type="dxa" w:w="4320"/>
          </w:tcPr>
          <w:p>
            <w:r/>
            <w:r>
              <w:rPr>
                <w:sz w:val="20"/>
              </w:rPr>
              <w:t>The single winning indicator value chosen per (territory, concept).</w:t>
            </w:r>
          </w:p>
        </w:tc>
      </w:tr>
      <w:tr>
        <w:tc>
          <w:tcPr>
            <w:tcW w:type="dxa" w:w="4320"/>
          </w:tcPr>
          <w:p>
            <w:r/>
            <w:r>
              <w:rPr>
                <w:sz w:val="20"/>
              </w:rPr>
              <w:t>data_level</w:t>
            </w:r>
          </w:p>
        </w:tc>
        <w:tc>
          <w:tcPr>
            <w:tcW w:type="dxa" w:w="4320"/>
          </w:tcPr>
          <w:p>
            <w:r/>
            <w:r>
              <w:rPr>
                <w:sz w:val="20"/>
              </w:rPr>
              <w:t>Provenance/trust tag of a value (state, province, national, satellite, city, modeled).</w:t>
            </w:r>
          </w:p>
        </w:tc>
      </w:tr>
      <w:tr>
        <w:tc>
          <w:tcPr>
            <w:tcW w:type="dxa" w:w="4320"/>
          </w:tcPr>
          <w:p>
            <w:r/>
            <w:r>
              <w:rPr>
                <w:sz w:val="20"/>
              </w:rPr>
              <w:t>RLS</w:t>
            </w:r>
          </w:p>
        </w:tc>
        <w:tc>
          <w:tcPr>
            <w:tcW w:type="dxa" w:w="4320"/>
          </w:tcPr>
          <w:p>
            <w:r/>
            <w:r>
              <w:rPr>
                <w:sz w:val="20"/>
              </w:rPr>
              <w:t>Row-Level Security — database-level access rules (Supabase/PostgreSQL).</w:t>
            </w:r>
          </w:p>
        </w:tc>
      </w:tr>
      <w:tr>
        <w:tc>
          <w:tcPr>
            <w:tcW w:type="dxa" w:w="4320"/>
          </w:tcPr>
          <w:p>
            <w:r/>
            <w:r>
              <w:rPr>
                <w:sz w:val="20"/>
              </w:rPr>
              <w:t>SPA</w:t>
            </w:r>
          </w:p>
        </w:tc>
        <w:tc>
          <w:tcPr>
            <w:tcW w:type="dxa" w:w="4320"/>
          </w:tcPr>
          <w:p>
            <w:r/>
            <w:r>
              <w:rPr>
                <w:sz w:val="20"/>
              </w:rPr>
              <w:t>Single-Page Application.</w:t>
            </w:r>
          </w:p>
        </w:tc>
      </w:tr>
      <w:tr>
        <w:tc>
          <w:tcPr>
            <w:tcW w:type="dxa" w:w="4320"/>
          </w:tcPr>
          <w:p>
            <w:r/>
            <w:r>
              <w:rPr>
                <w:sz w:val="20"/>
              </w:rPr>
              <w:t>dMRV</w:t>
            </w:r>
          </w:p>
        </w:tc>
        <w:tc>
          <w:tcPr>
            <w:tcW w:type="dxa" w:w="4320"/>
          </w:tcPr>
          <w:p>
            <w:r/>
            <w:r>
              <w:rPr>
                <w:sz w:val="20"/>
              </w:rPr>
              <w:t>digital Measurement, Reporting and Verification.</w:t>
            </w:r>
          </w:p>
        </w:tc>
      </w:tr>
    </w:tbl>
    <w:p/>
    <w:p>
      <w:pPr>
        <w:pStyle w:val="Heading2"/>
      </w:pPr>
      <w:r>
        <w:t>1.6 References</w:t>
      </w:r>
    </w:p>
    <w:p>
      <w:pPr>
        <w:pStyle w:val="ListBullet"/>
      </w:pPr>
      <w:r>
        <w:t>Koh How Tze, "The ABCDE Framework in The True Wealth Hexagon: Building A Resilient Civilization through Sustainable Social, Environmental, and Economic Development".</w:t>
      </w:r>
    </w:p>
    <w:p>
      <w:pPr>
        <w:pStyle w:val="ListBullet"/>
      </w:pPr>
      <w:r>
        <w:t>Project repository: https://github.com/angelyong/Borneo_Tracker</w:t>
      </w:r>
    </w:p>
    <w:p>
      <w:pPr>
        <w:pStyle w:val="ListBullet"/>
      </w:pPr>
      <w:r>
        <w:t>Internal documents: README.md, HANDOFF.md, borneo_tracker_resilience_index_methodology.md, docs/ABCDE_HEXAGON_REFRAME_PLAN.md, docs/SUPABASE_AUTH_MIGRATION_PLAN.md, docs/PRODUCTION_ROLLOUT_PLAN.md, docs/DATA_INTAKE_ROADMAP.md, docs/NEWS_IMPLEMENTATION_PLAN.md.</w:t>
      </w:r>
    </w:p>
    <w:p>
      <w:pPr>
        <w:pStyle w:val="ListBullet"/>
      </w:pPr>
      <w:r>
        <w:t>IEEE Std 830-1998, Recommended Practice for Software Requirements Specifications.</w:t>
      </w:r>
    </w:p>
    <w:p>
      <w:r>
        <w:br w:type="page"/>
      </w:r>
    </w:p>
    <w:p>
      <w:pPr>
        <w:pStyle w:val="Heading1"/>
      </w:pPr>
      <w:r>
        <w:t>2. Overall Description</w:t>
      </w:r>
    </w:p>
    <w:p>
      <w:pPr>
        <w:pStyle w:val="Heading2"/>
      </w:pPr>
      <w:r>
        <w:t>2.1 Product Perspective</w:t>
      </w:r>
    </w:p>
    <w:p>
      <w:r>
        <w:rPr>
          <w:b w:val="0"/>
          <w:i w:val="0"/>
        </w:rPr>
        <w:t>Borneo Tracker is a new, self-contained system. It follows a decoupled architecture in which a scheduled back-end data pipeline collects data from external public sources on a fixed schedule, stores it in a database, and exports it as static data files; the front-end web application then reads these prepared files. The browser never calls external data-source APIs directly. A separate hosted database (Supabase / PostgreSQL) provides live storage for the news digest, user accounts and authentication. The overall data flow is:</w:t>
      </w:r>
    </w:p>
    <w:p>
      <w:r>
        <w:rPr>
          <w:b w:val="0"/>
          <w:i/>
        </w:rPr>
        <w:t>External open-data APIs  →  Python ETL pipeline (scheduled)  →  SQLite database  →  exported JSON/GeoJSON  →  React front-end (read-only). News and authentication  →  Supabase (live).</w:t>
      </w:r>
    </w:p>
    <w:p>
      <w:pPr>
        <w:pStyle w:val="Heading2"/>
      </w:pPr>
      <w:r>
        <w:t>2.2 Product Functions</w:t>
      </w:r>
    </w:p>
    <w:p>
      <w:r>
        <w:rPr>
          <w:b w:val="0"/>
          <w:i w:val="0"/>
        </w:rPr>
        <w:t>At a high level, the platform provides the following major functions:</w:t>
      </w:r>
    </w:p>
    <w:p>
      <w:pPr>
        <w:pStyle w:val="ListBullet"/>
      </w:pPr>
      <w:r>
        <w:t>An interactive map dashboard of the four territories with selectable data layers and region/district drill-down.</w:t>
      </w:r>
    </w:p>
    <w:p>
      <w:pPr>
        <w:pStyle w:val="ListBullet"/>
      </w:pPr>
      <w:r>
        <w:t>Exploration of ESG indicators and SDG progress with Red/Amber/Green status.</w:t>
      </w:r>
    </w:p>
    <w:p>
      <w:pPr>
        <w:pStyle w:val="ListBullet"/>
      </w:pPr>
      <w:r>
        <w:t>Computation and visualisation of the Resilience Index and True Wealth Hexagon.</w:t>
      </w:r>
    </w:p>
    <w:p>
      <w:pPr>
        <w:pStyle w:val="ListBullet"/>
      </w:pPr>
      <w:r>
        <w:t>Per-territory historical trend and comparison charts.</w:t>
      </w:r>
    </w:p>
    <w:p>
      <w:pPr>
        <w:pStyle w:val="ListBullet"/>
      </w:pPr>
      <w:r>
        <w:t>An automated data-integration (ETL) pipeline sourcing data from public APIs on a daily schedule.</w:t>
      </w:r>
    </w:p>
    <w:p>
      <w:pPr>
        <w:pStyle w:val="ListBullet"/>
      </w:pPr>
      <w:r>
        <w:t>An AI-assisted sustainability news digest with an administrative approval workflow.</w:t>
      </w:r>
    </w:p>
    <w:p>
      <w:pPr>
        <w:pStyle w:val="ListBullet"/>
      </w:pPr>
      <w:r>
        <w:t>A community feed allowing posts, attachments and comments.</w:t>
      </w:r>
    </w:p>
    <w:p>
      <w:pPr>
        <w:pStyle w:val="ListBullet"/>
      </w:pPr>
      <w:r>
        <w:t>Generation and export of reports (PDF) and data (CSV/PNG).</w:t>
      </w:r>
    </w:p>
    <w:p>
      <w:pPr>
        <w:pStyle w:val="ListBullet"/>
      </w:pPr>
      <w:r>
        <w:t>User authentication, profile management and role-based administrative back-office.</w:t>
      </w:r>
    </w:p>
    <w:p>
      <w:pPr>
        <w:pStyle w:val="ListBullet"/>
      </w:pPr>
      <w:r>
        <w:t>Light/dark theming and multi-language support (English and Bahasa Melayu).</w:t>
      </w:r>
    </w:p>
    <w:p>
      <w:pPr>
        <w:pStyle w:val="ListBullet"/>
      </w:pPr>
      <w:r>
        <w:t>(Planned) An AI sustainability assistant and blockchain-based data-integrity features.</w:t>
      </w:r>
    </w:p>
    <w:p>
      <w:pPr>
        <w:pStyle w:val="Heading2"/>
      </w:pPr>
      <w:r>
        <w:t>2.3 User Classes and Characteristics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User Class</w:t>
            </w:r>
          </w:p>
        </w:tc>
        <w:tc>
          <w:tcPr>
            <w:tcW w:type="dxa" w:w="4320"/>
          </w:tcPr>
          <w:p>
            <w:r/>
            <w:r>
              <w:rPr>
                <w:b/>
                <w:sz w:val="20"/>
              </w:rPr>
              <w:t>Characteristics and Access</w:t>
            </w:r>
          </w:p>
        </w:tc>
      </w:tr>
      <w:tr>
        <w:tc>
          <w:tcPr>
            <w:tcW w:type="dxa" w:w="4320"/>
          </w:tcPr>
          <w:p>
            <w:r/>
            <w:r>
              <w:rPr>
                <w:sz w:val="20"/>
              </w:rPr>
              <w:t>Public / Guest</w:t>
            </w:r>
          </w:p>
        </w:tc>
        <w:tc>
          <w:tcPr>
            <w:tcW w:type="dxa" w:w="4320"/>
          </w:tcPr>
          <w:p>
            <w:r/>
            <w:r>
              <w:rPr>
                <w:sz w:val="20"/>
              </w:rPr>
              <w:t>Any visitor without an account. Can access the dashboard, regional details, ESG, SDG, news, community, reports, about and policy pages. Cannot access the profile or administrative pages.</w:t>
            </w:r>
          </w:p>
        </w:tc>
      </w:tr>
      <w:tr>
        <w:tc>
          <w:tcPr>
            <w:tcW w:type="dxa" w:w="4320"/>
          </w:tcPr>
          <w:p>
            <w:r/>
            <w:r>
              <w:rPr>
                <w:sz w:val="20"/>
              </w:rPr>
              <w:t>Registered User (role = user)</w:t>
            </w:r>
          </w:p>
        </w:tc>
        <w:tc>
          <w:tcPr>
            <w:tcW w:type="dxa" w:w="4320"/>
          </w:tcPr>
          <w:p>
            <w:r/>
            <w:r>
              <w:rPr>
                <w:sz w:val="20"/>
              </w:rPr>
              <w:t>An authenticated citizen or stakeholder. Has all guest capabilities plus a personal profile (view/edit details, change password).</w:t>
            </w:r>
          </w:p>
        </w:tc>
      </w:tr>
      <w:tr>
        <w:tc>
          <w:tcPr>
            <w:tcW w:type="dxa" w:w="4320"/>
          </w:tcPr>
          <w:p>
            <w:r/>
            <w:r>
              <w:rPr>
                <w:sz w:val="20"/>
              </w:rPr>
              <w:t>Administrator (role = admin)</w:t>
            </w:r>
          </w:p>
        </w:tc>
        <w:tc>
          <w:tcPr>
            <w:tcW w:type="dxa" w:w="4320"/>
          </w:tcPr>
          <w:p>
            <w:r/>
            <w:r>
              <w:rPr>
                <w:sz w:val="20"/>
              </w:rPr>
              <w:t>A trusted operator. Has all user capabilities plus access to the administrative back-office: news moderation (approve/edit/reject) and user management (view, suspend/activate accounts).</w:t>
            </w:r>
          </w:p>
        </w:tc>
      </w:tr>
      <w:tr>
        <w:tc>
          <w:tcPr>
            <w:tcW w:type="dxa" w:w="4320"/>
          </w:tcPr>
          <w:p>
            <w:r/>
            <w:r>
              <w:rPr>
                <w:sz w:val="20"/>
              </w:rPr>
              <w:t>System (automated)</w:t>
            </w:r>
          </w:p>
        </w:tc>
        <w:tc>
          <w:tcPr>
            <w:tcW w:type="dxa" w:w="4320"/>
          </w:tcPr>
          <w:p>
            <w:r/>
            <w:r>
              <w:rPr>
                <w:sz w:val="20"/>
              </w:rPr>
              <w:t>The scheduled GitHub Actions jobs that run the data and news pipelines without human interaction.</w:t>
            </w:r>
          </w:p>
        </w:tc>
      </w:tr>
    </w:tbl>
    <w:p/>
    <w:p>
      <w:pPr>
        <w:pStyle w:val="Heading2"/>
      </w:pPr>
      <w:r>
        <w:t>2.4 Operating Environment</w:t>
      </w:r>
    </w:p>
    <w:p>
      <w:pPr>
        <w:pStyle w:val="ListBullet"/>
      </w:pPr>
      <w:r>
        <w:t>Client: any modern desktop or mobile web browser (Chrome, Edge, Firefox, Safari); responsive layout.</w:t>
      </w:r>
    </w:p>
    <w:p>
      <w:pPr>
        <w:pStyle w:val="ListBullet"/>
      </w:pPr>
      <w:r>
        <w:t>Front-end: React 19 single-page application built with Vite 8; served as static files.</w:t>
      </w:r>
    </w:p>
    <w:p>
      <w:pPr>
        <w:pStyle w:val="ListBullet"/>
      </w:pPr>
      <w:r>
        <w:t>Back-end pipeline: Python 3.12 scripts executed on GitHub Actions runners on a daily schedule.</w:t>
      </w:r>
    </w:p>
    <w:p>
      <w:pPr>
        <w:pStyle w:val="ListBullet"/>
      </w:pPr>
      <w:r>
        <w:t>Databases: local SQLite (analytics data, generated by the pipeline) and hosted Supabase / PostgreSQL (news, users, authentication).</w:t>
      </w:r>
    </w:p>
    <w:p>
      <w:pPr>
        <w:pStyle w:val="ListBullet"/>
      </w:pPr>
      <w:r>
        <w:t>Target production hosting: DirectAdmin shared hosting serving the static front-end.</w:t>
      </w:r>
    </w:p>
    <w:p>
      <w:pPr>
        <w:pStyle w:val="Heading2"/>
      </w:pPr>
      <w:r>
        <w:t>2.5 Design and Implementation Constraints</w:t>
      </w:r>
    </w:p>
    <w:p>
      <w:pPr>
        <w:pStyle w:val="ListBullet"/>
      </w:pPr>
      <w:r>
        <w:t>The front-end must not call external data-source APIs directly; all source data is fetched through the scheduled pipeline.</w:t>
      </w:r>
    </w:p>
    <w:p>
      <w:pPr>
        <w:pStyle w:val="ListBullet"/>
      </w:pPr>
      <w:r>
        <w:t>Only free / open data sources and free service tiers are used, to keep the platform at zero or minimal cost.</w:t>
      </w:r>
    </w:p>
    <w:p>
      <w:pPr>
        <w:pStyle w:val="ListBullet"/>
      </w:pPr>
      <w:r>
        <w:t>Several public APIs are rate-limited (for example OpenDOSM at four requests per minute); the pipeline must throttle accordingly.</w:t>
      </w:r>
    </w:p>
    <w:p>
      <w:pPr>
        <w:pStyle w:val="ListBullet"/>
      </w:pPr>
      <w:r>
        <w:t>The production host is static shared hosting, which is why a managed backend (Supabase) is used rather than a self-hosted server.</w:t>
      </w:r>
    </w:p>
    <w:p>
      <w:pPr>
        <w:pStyle w:val="ListBullet"/>
      </w:pPr>
      <w:r>
        <w:t>Every value must carry an honest provenance/trust tag (data_level and confidence); missing data must never be fabricated or interpolated.</w:t>
      </w:r>
    </w:p>
    <w:p>
      <w:pPr>
        <w:pStyle w:val="ListBullet"/>
      </w:pPr>
      <w:r>
        <w:t>API keys and secrets must be stored as environment variables / repository secrets and never committed to the repository.</w:t>
      </w:r>
    </w:p>
    <w:p>
      <w:pPr>
        <w:pStyle w:val="Heading2"/>
      </w:pPr>
      <w:r>
        <w:t>2.6 User Documentation</w:t>
      </w:r>
    </w:p>
    <w:p>
      <w:pPr>
        <w:pStyle w:val="ListBullet"/>
      </w:pPr>
      <w:r>
        <w:t>In-repository documentation: README.md, HANDOFF.md and PRESENTATION_GUIDE.md.</w:t>
      </w:r>
    </w:p>
    <w:p>
      <w:pPr>
        <w:pStyle w:val="ListBullet"/>
      </w:pPr>
      <w:r>
        <w:t>An in-application About page and Privacy Policy, Terms of Use and Data Policy pages.</w:t>
      </w:r>
    </w:p>
    <w:p>
      <w:pPr>
        <w:pStyle w:val="ListBullet"/>
      </w:pPr>
      <w:r>
        <w:t>Methodology and data-source reference documents under the repository root and docs/ folder.</w:t>
      </w:r>
    </w:p>
    <w:p>
      <w:pPr>
        <w:pStyle w:val="Heading2"/>
      </w:pPr>
      <w:r>
        <w:t>2.7 Assumptions and Dependencies</w:t>
      </w:r>
    </w:p>
    <w:p>
      <w:pPr>
        <w:pStyle w:val="ListBullet"/>
      </w:pPr>
      <w:r>
        <w:t>The external open-data APIs remain available and maintain a broadly stable response format.</w:t>
      </w:r>
    </w:p>
    <w:p>
      <w:pPr>
        <w:pStyle w:val="ListBullet"/>
      </w:pPr>
      <w:r>
        <w:t>Repository secrets (API keys, Supabase URL and keys) are correctly configured on the owner’s repository so the scheduled jobs can run.</w:t>
      </w:r>
    </w:p>
    <w:p>
      <w:pPr>
        <w:pStyle w:val="ListBullet"/>
      </w:pPr>
      <w:r>
        <w:t>The Supabase project remains within its free-tier limits.</w:t>
      </w:r>
    </w:p>
    <w:p>
      <w:pPr>
        <w:pStyle w:val="ListBullet"/>
      </w:pPr>
      <w:r>
        <w:t>Some indicators are only available at a national level and are inherited down to sub-national territories with an honest confidence penalty.</w:t>
      </w:r>
    </w:p>
    <w:p>
      <w:pPr>
        <w:pStyle w:val="ListBullet"/>
      </w:pPr>
      <w:r>
        <w:t>A production domain and hosting account will be provisioned before final deployment.</w:t>
      </w:r>
    </w:p>
    <w:p>
      <w:r>
        <w:br w:type="page"/>
      </w:r>
    </w:p>
    <w:p>
      <w:pPr>
        <w:pStyle w:val="Heading1"/>
      </w:pPr>
      <w:r>
        <w:t>3. External Interface Requirements</w:t>
      </w:r>
    </w:p>
    <w:p>
      <w:pPr>
        <w:pStyle w:val="Heading2"/>
      </w:pPr>
      <w:r>
        <w:t>3.1 User Interfaces</w:t>
      </w:r>
    </w:p>
    <w:p>
      <w:r>
        <w:rPr>
          <w:b w:val="0"/>
          <w:i w:val="0"/>
        </w:rPr>
        <w:t>The user interface is a responsive single-page web application. A persistent shell provides a top bar (menu toggle, logo, language switch, theme toggle and account menu), a collapsible left sidebar for navigation, and a footer. The primary screen is the interactive map dashboard. All screens support light and dark themes and two languages (English and Bahasa Melayu). Charts and maps are rendered with Leaflet (maps), ECharts (trend/comparison charts) and inline SVG (gauge, radar, scatter and bar visualisations).</w:t>
      </w:r>
    </w:p>
    <w:p>
      <w:pPr>
        <w:pStyle w:val="Heading2"/>
      </w:pPr>
      <w:r>
        <w:t>3.2 Hardware Interfaces</w:t>
      </w:r>
    </w:p>
    <w:p>
      <w:r>
        <w:rPr>
          <w:b w:val="0"/>
          <w:i w:val="0"/>
        </w:rPr>
        <w:t>The system has no special hardware interfaces. It requires only a client device capable of running a modern web browser with internet access. Server-side processing runs on standard cloud runners.</w:t>
      </w:r>
    </w:p>
    <w:p>
      <w:pPr>
        <w:pStyle w:val="Heading2"/>
      </w:pPr>
      <w:r>
        <w:t>3.3 Software Interfaces</w:t>
      </w:r>
    </w:p>
    <w:p>
      <w:r>
        <w:rPr>
          <w:b w:val="0"/>
          <w:i w:val="0"/>
        </w:rPr>
        <w:t>The back-end pipeline integrates with the following external data sources and services. All are accessed only by the scheduled back-end pipeline, not by the browser.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External Service</w:t>
            </w:r>
          </w:p>
        </w:tc>
        <w:tc>
          <w:tcPr>
            <w:tcW w:type="dxa" w:w="2160"/>
          </w:tcPr>
          <w:p>
            <w:r/>
            <w:r>
              <w:rPr>
                <w:b/>
                <w:sz w:val="20"/>
              </w:rPr>
              <w:t>Data Provided</w:t>
            </w:r>
          </w:p>
        </w:tc>
        <w:tc>
          <w:tcPr>
            <w:tcW w:type="dxa" w:w="2160"/>
          </w:tcPr>
          <w:p>
            <w:r/>
            <w:r>
              <w:rPr>
                <w:b/>
                <w:sz w:val="20"/>
              </w:rPr>
              <w:t>Level</w:t>
            </w:r>
          </w:p>
        </w:tc>
        <w:tc>
          <w:tcPr>
            <w:tcW w:type="dxa" w:w="2160"/>
          </w:tcPr>
          <w:p>
            <w:r/>
            <w:r>
              <w:rPr>
                <w:b/>
                <w:sz w:val="20"/>
              </w:rPr>
              <w:t>Key Required</w:t>
            </w:r>
          </w:p>
        </w:tc>
      </w:tr>
      <w:tr>
        <w:tc>
          <w:tcPr>
            <w:tcW w:type="dxa" w:w="2160"/>
          </w:tcPr>
          <w:p>
            <w:r/>
            <w:r>
              <w:rPr>
                <w:sz w:val="20"/>
              </w:rPr>
              <w:t>data.gov.my / OpenDOSM</w:t>
            </w:r>
          </w:p>
        </w:tc>
        <w:tc>
          <w:tcPr>
            <w:tcW w:type="dxa" w:w="2160"/>
          </w:tcPr>
          <w:p>
            <w:r/>
            <w:r>
              <w:rPr>
                <w:sz w:val="20"/>
              </w:rPr>
              <w:t>Sabah &amp; Sarawak socio-economic and environmental indicators; district datasets</w:t>
            </w:r>
          </w:p>
        </w:tc>
        <w:tc>
          <w:tcPr>
            <w:tcW w:type="dxa" w:w="2160"/>
          </w:tcPr>
          <w:p>
            <w:r/>
            <w:r>
              <w:rPr>
                <w:sz w:val="20"/>
              </w:rPr>
              <w:t>State / District</w:t>
            </w:r>
          </w:p>
        </w:tc>
        <w:tc>
          <w:tcPr>
            <w:tcW w:type="dxa" w:w="2160"/>
          </w:tcPr>
          <w:p>
            <w:r/>
            <w:r>
              <w:rPr>
                <w:sz w:val="20"/>
              </w:rPr>
              <w:t>No</w:t>
            </w:r>
          </w:p>
        </w:tc>
      </w:tr>
      <w:tr>
        <w:tc>
          <w:tcPr>
            <w:tcW w:type="dxa" w:w="2160"/>
          </w:tcPr>
          <w:p>
            <w:r/>
            <w:r>
              <w:rPr>
                <w:sz w:val="20"/>
              </w:rPr>
              <w:t>World Bank (incl. WGI)</w:t>
            </w:r>
          </w:p>
        </w:tc>
        <w:tc>
          <w:tcPr>
            <w:tcW w:type="dxa" w:w="2160"/>
          </w:tcPr>
          <w:p>
            <w:r/>
            <w:r>
              <w:rPr>
                <w:sz w:val="20"/>
              </w:rPr>
              <w:t>Brunei indicators; governance and renewable-energy indicators for all territories</w:t>
            </w:r>
          </w:p>
        </w:tc>
        <w:tc>
          <w:tcPr>
            <w:tcW w:type="dxa" w:w="2160"/>
          </w:tcPr>
          <w:p>
            <w:r/>
            <w:r>
              <w:rPr>
                <w:sz w:val="20"/>
              </w:rPr>
              <w:t>National</w:t>
            </w:r>
          </w:p>
        </w:tc>
        <w:tc>
          <w:tcPr>
            <w:tcW w:type="dxa" w:w="2160"/>
          </w:tcPr>
          <w:p>
            <w:r/>
            <w:r>
              <w:rPr>
                <w:sz w:val="20"/>
              </w:rPr>
              <w:t>No</w:t>
            </w:r>
          </w:p>
        </w:tc>
      </w:tr>
      <w:tr>
        <w:tc>
          <w:tcPr>
            <w:tcW w:type="dxa" w:w="2160"/>
          </w:tcPr>
          <w:p>
            <w:r/>
            <w:r>
              <w:rPr>
                <w:sz w:val="20"/>
              </w:rPr>
              <w:t>UN SDG API (unstats)</w:t>
            </w:r>
          </w:p>
        </w:tc>
        <w:tc>
          <w:tcPr>
            <w:tcW w:type="dxa" w:w="2160"/>
          </w:tcPr>
          <w:p>
            <w:r/>
            <w:r>
              <w:rPr>
                <w:sz w:val="20"/>
              </w:rPr>
              <w:t>Poverty headcount (SDG 1) for Malaysia, Indonesia, Brunei</w:t>
            </w:r>
          </w:p>
        </w:tc>
        <w:tc>
          <w:tcPr>
            <w:tcW w:type="dxa" w:w="2160"/>
          </w:tcPr>
          <w:p>
            <w:r/>
            <w:r>
              <w:rPr>
                <w:sz w:val="20"/>
              </w:rPr>
              <w:t>National</w:t>
            </w:r>
          </w:p>
        </w:tc>
        <w:tc>
          <w:tcPr>
            <w:tcW w:type="dxa" w:w="2160"/>
          </w:tcPr>
          <w:p>
            <w:r/>
            <w:r>
              <w:rPr>
                <w:sz w:val="20"/>
              </w:rPr>
              <w:t>No</w:t>
            </w:r>
          </w:p>
        </w:tc>
      </w:tr>
      <w:tr>
        <w:tc>
          <w:tcPr>
            <w:tcW w:type="dxa" w:w="2160"/>
          </w:tcPr>
          <w:p>
            <w:r/>
            <w:r>
              <w:rPr>
                <w:sz w:val="20"/>
              </w:rPr>
              <w:t>BPS Indonesia</w:t>
            </w:r>
          </w:p>
        </w:tc>
        <w:tc>
          <w:tcPr>
            <w:tcW w:type="dxa" w:w="2160"/>
          </w:tcPr>
          <w:p>
            <w:r/>
            <w:r>
              <w:rPr>
                <w:sz w:val="20"/>
              </w:rPr>
              <w:t>Kalimantan province and regency/city indicators</w:t>
            </w:r>
          </w:p>
        </w:tc>
        <w:tc>
          <w:tcPr>
            <w:tcW w:type="dxa" w:w="2160"/>
          </w:tcPr>
          <w:p>
            <w:r/>
            <w:r>
              <w:rPr>
                <w:sz w:val="20"/>
              </w:rPr>
              <w:t>Province / District</w:t>
            </w:r>
          </w:p>
        </w:tc>
        <w:tc>
          <w:tcPr>
            <w:tcW w:type="dxa" w:w="2160"/>
          </w:tcPr>
          <w:p>
            <w:r/>
            <w:r>
              <w:rPr>
                <w:sz w:val="20"/>
              </w:rPr>
              <w:t>Yes</w:t>
            </w:r>
          </w:p>
        </w:tc>
      </w:tr>
      <w:tr>
        <w:tc>
          <w:tcPr>
            <w:tcW w:type="dxa" w:w="2160"/>
          </w:tcPr>
          <w:p>
            <w:r/>
            <w:r>
              <w:rPr>
                <w:sz w:val="20"/>
              </w:rPr>
              <w:t>Global Forest Watch</w:t>
            </w:r>
          </w:p>
        </w:tc>
        <w:tc>
          <w:tcPr>
            <w:tcW w:type="dxa" w:w="2160"/>
          </w:tcPr>
          <w:p>
            <w:r/>
            <w:r>
              <w:rPr>
                <w:sz w:val="20"/>
              </w:rPr>
              <w:t>Forest extent, tree-cover loss, VIIRS fire alerts</w:t>
            </w:r>
          </w:p>
        </w:tc>
        <w:tc>
          <w:tcPr>
            <w:tcW w:type="dxa" w:w="2160"/>
          </w:tcPr>
          <w:p>
            <w:r/>
            <w:r>
              <w:rPr>
                <w:sz w:val="20"/>
              </w:rPr>
              <w:t>Satellite</w:t>
            </w:r>
          </w:p>
        </w:tc>
        <w:tc>
          <w:tcPr>
            <w:tcW w:type="dxa" w:w="2160"/>
          </w:tcPr>
          <w:p>
            <w:r/>
            <w:r>
              <w:rPr>
                <w:sz w:val="20"/>
              </w:rPr>
              <w:t>Yes</w:t>
            </w:r>
          </w:p>
        </w:tc>
      </w:tr>
      <w:tr>
        <w:tc>
          <w:tcPr>
            <w:tcW w:type="dxa" w:w="2160"/>
          </w:tcPr>
          <w:p>
            <w:r/>
            <w:r>
              <w:rPr>
                <w:sz w:val="20"/>
              </w:rPr>
              <w:t>NASA FIRMS</w:t>
            </w:r>
          </w:p>
        </w:tc>
        <w:tc>
          <w:tcPr>
            <w:tcW w:type="dxa" w:w="2160"/>
          </w:tcPr>
          <w:p>
            <w:r/>
            <w:r>
              <w:rPr>
                <w:sz w:val="20"/>
              </w:rPr>
              <w:t>Active fire hotspots (24-hour)</w:t>
            </w:r>
          </w:p>
        </w:tc>
        <w:tc>
          <w:tcPr>
            <w:tcW w:type="dxa" w:w="2160"/>
          </w:tcPr>
          <w:p>
            <w:r/>
            <w:r>
              <w:rPr>
                <w:sz w:val="20"/>
              </w:rPr>
              <w:t>Satellite</w:t>
            </w:r>
          </w:p>
        </w:tc>
        <w:tc>
          <w:tcPr>
            <w:tcW w:type="dxa" w:w="2160"/>
          </w:tcPr>
          <w:p>
            <w:r/>
            <w:r>
              <w:rPr>
                <w:sz w:val="20"/>
              </w:rPr>
              <w:t>Yes</w:t>
            </w:r>
          </w:p>
        </w:tc>
      </w:tr>
      <w:tr>
        <w:tc>
          <w:tcPr>
            <w:tcW w:type="dxa" w:w="2160"/>
          </w:tcPr>
          <w:p>
            <w:r/>
            <w:r>
              <w:rPr>
                <w:sz w:val="20"/>
              </w:rPr>
              <w:t>WAQI / aqicn</w:t>
            </w:r>
          </w:p>
        </w:tc>
        <w:tc>
          <w:tcPr>
            <w:tcW w:type="dxa" w:w="2160"/>
          </w:tcPr>
          <w:p>
            <w:r/>
            <w:r>
              <w:rPr>
                <w:sz w:val="20"/>
              </w:rPr>
              <w:t>Live air-quality index for Borneo capital cities</w:t>
            </w:r>
          </w:p>
        </w:tc>
        <w:tc>
          <w:tcPr>
            <w:tcW w:type="dxa" w:w="2160"/>
          </w:tcPr>
          <w:p>
            <w:r/>
            <w:r>
              <w:rPr>
                <w:sz w:val="20"/>
              </w:rPr>
              <w:t>City</w:t>
            </w:r>
          </w:p>
        </w:tc>
        <w:tc>
          <w:tcPr>
            <w:tcW w:type="dxa" w:w="2160"/>
          </w:tcPr>
          <w:p>
            <w:r/>
            <w:r>
              <w:rPr>
                <w:sz w:val="20"/>
              </w:rPr>
              <w:t>Yes</w:t>
            </w:r>
          </w:p>
        </w:tc>
      </w:tr>
      <w:tr>
        <w:tc>
          <w:tcPr>
            <w:tcW w:type="dxa" w:w="2160"/>
          </w:tcPr>
          <w:p>
            <w:r/>
            <w:r>
              <w:rPr>
                <w:sz w:val="20"/>
              </w:rPr>
              <w:t>UNESCO World Heritage</w:t>
            </w:r>
          </w:p>
        </w:tc>
        <w:tc>
          <w:tcPr>
            <w:tcW w:type="dxa" w:w="2160"/>
          </w:tcPr>
          <w:p>
            <w:r/>
            <w:r>
              <w:rPr>
                <w:sz w:val="20"/>
              </w:rPr>
              <w:t>World Heritage site counts</w:t>
            </w:r>
          </w:p>
        </w:tc>
        <w:tc>
          <w:tcPr>
            <w:tcW w:type="dxa" w:w="2160"/>
          </w:tcPr>
          <w:p>
            <w:r/>
            <w:r>
              <w:rPr>
                <w:sz w:val="20"/>
              </w:rPr>
              <w:t>State / National</w:t>
            </w:r>
          </w:p>
        </w:tc>
        <w:tc>
          <w:tcPr>
            <w:tcW w:type="dxa" w:w="2160"/>
          </w:tcPr>
          <w:p>
            <w:r/>
            <w:r>
              <w:rPr>
                <w:sz w:val="20"/>
              </w:rPr>
              <w:t>No</w:t>
            </w:r>
          </w:p>
        </w:tc>
      </w:tr>
      <w:tr>
        <w:tc>
          <w:tcPr>
            <w:tcW w:type="dxa" w:w="2160"/>
          </w:tcPr>
          <w:p>
            <w:r/>
            <w:r>
              <w:rPr>
                <w:sz w:val="20"/>
              </w:rPr>
              <w:t>Global Data Lab</w:t>
            </w:r>
          </w:p>
        </w:tc>
        <w:tc>
          <w:tcPr>
            <w:tcW w:type="dxa" w:w="2160"/>
          </w:tcPr>
          <w:p>
            <w:r/>
            <w:r>
              <w:rPr>
                <w:sz w:val="20"/>
              </w:rPr>
              <w:t>Mean years of schooling (sub-national)</w:t>
            </w:r>
          </w:p>
        </w:tc>
        <w:tc>
          <w:tcPr>
            <w:tcW w:type="dxa" w:w="2160"/>
          </w:tcPr>
          <w:p>
            <w:r/>
            <w:r>
              <w:rPr>
                <w:sz w:val="20"/>
              </w:rPr>
              <w:t>Modeled</w:t>
            </w:r>
          </w:p>
        </w:tc>
        <w:tc>
          <w:tcPr>
            <w:tcW w:type="dxa" w:w="2160"/>
          </w:tcPr>
          <w:p>
            <w:r/>
            <w:r>
              <w:rPr>
                <w:sz w:val="20"/>
              </w:rPr>
              <w:t>Yes</w:t>
            </w:r>
          </w:p>
        </w:tc>
      </w:tr>
      <w:tr>
        <w:tc>
          <w:tcPr>
            <w:tcW w:type="dxa" w:w="2160"/>
          </w:tcPr>
          <w:p>
            <w:r/>
            <w:r>
              <w:rPr>
                <w:sz w:val="20"/>
              </w:rPr>
              <w:t>Google Gemini</w:t>
            </w:r>
          </w:p>
        </w:tc>
        <w:tc>
          <w:tcPr>
            <w:tcW w:type="dxa" w:w="2160"/>
          </w:tcPr>
          <w:p>
            <w:r/>
            <w:r>
              <w:rPr>
                <w:sz w:val="20"/>
              </w:rPr>
              <w:t>AI filtering and rewriting of news articles</w:t>
            </w:r>
          </w:p>
        </w:tc>
        <w:tc>
          <w:tcPr>
            <w:tcW w:type="dxa" w:w="2160"/>
          </w:tcPr>
          <w:p>
            <w:r/>
            <w:r>
              <w:rPr>
                <w:sz w:val="20"/>
              </w:rPr>
              <w:t>—</w:t>
            </w:r>
          </w:p>
        </w:tc>
        <w:tc>
          <w:tcPr>
            <w:tcW w:type="dxa" w:w="2160"/>
          </w:tcPr>
          <w:p>
            <w:r/>
            <w:r>
              <w:rPr>
                <w:sz w:val="20"/>
              </w:rPr>
              <w:t>Yes</w:t>
            </w:r>
          </w:p>
        </w:tc>
      </w:tr>
      <w:tr>
        <w:tc>
          <w:tcPr>
            <w:tcW w:type="dxa" w:w="2160"/>
          </w:tcPr>
          <w:p>
            <w:r/>
            <w:r>
              <w:rPr>
                <w:sz w:val="20"/>
              </w:rPr>
              <w:t>Publisher &amp; Google News RSS</w:t>
            </w:r>
          </w:p>
        </w:tc>
        <w:tc>
          <w:tcPr>
            <w:tcW w:type="dxa" w:w="2160"/>
          </w:tcPr>
          <w:p>
            <w:r/>
            <w:r>
              <w:rPr>
                <w:sz w:val="20"/>
              </w:rPr>
              <w:t>Raw sustainability news items</w:t>
            </w:r>
          </w:p>
        </w:tc>
        <w:tc>
          <w:tcPr>
            <w:tcW w:type="dxa" w:w="2160"/>
          </w:tcPr>
          <w:p>
            <w:r/>
            <w:r>
              <w:rPr>
                <w:sz w:val="20"/>
              </w:rPr>
              <w:t>—</w:t>
            </w:r>
          </w:p>
        </w:tc>
        <w:tc>
          <w:tcPr>
            <w:tcW w:type="dxa" w:w="2160"/>
          </w:tcPr>
          <w:p>
            <w:r/>
            <w:r>
              <w:rPr>
                <w:sz w:val="20"/>
              </w:rPr>
              <w:t>No</w:t>
            </w:r>
          </w:p>
        </w:tc>
      </w:tr>
      <w:tr>
        <w:tc>
          <w:tcPr>
            <w:tcW w:type="dxa" w:w="2160"/>
          </w:tcPr>
          <w:p>
            <w:r/>
            <w:r>
              <w:rPr>
                <w:sz w:val="20"/>
              </w:rPr>
              <w:t>Supabase (PostgREST / Auth)</w:t>
            </w:r>
          </w:p>
        </w:tc>
        <w:tc>
          <w:tcPr>
            <w:tcW w:type="dxa" w:w="2160"/>
          </w:tcPr>
          <w:p>
            <w:r/>
            <w:r>
              <w:rPr>
                <w:sz w:val="20"/>
              </w:rPr>
              <w:t>News store, user accounts and authentication</w:t>
            </w:r>
          </w:p>
        </w:tc>
        <w:tc>
          <w:tcPr>
            <w:tcW w:type="dxa" w:w="2160"/>
          </w:tcPr>
          <w:p>
            <w:r/>
            <w:r>
              <w:rPr>
                <w:sz w:val="20"/>
              </w:rPr>
              <w:t>—</w:t>
            </w:r>
          </w:p>
        </w:tc>
        <w:tc>
          <w:tcPr>
            <w:tcW w:type="dxa" w:w="2160"/>
          </w:tcPr>
          <w:p>
            <w:r/>
            <w:r>
              <w:rPr>
                <w:sz w:val="20"/>
              </w:rPr>
              <w:t>Yes</w:t>
            </w:r>
          </w:p>
        </w:tc>
      </w:tr>
      <w:tr>
        <w:tc>
          <w:tcPr>
            <w:tcW w:type="dxa" w:w="2160"/>
          </w:tcPr>
          <w:p>
            <w:r/>
            <w:r>
              <w:rPr>
                <w:sz w:val="20"/>
              </w:rPr>
              <w:t>GADM (geodata)</w:t>
            </w:r>
          </w:p>
        </w:tc>
        <w:tc>
          <w:tcPr>
            <w:tcW w:type="dxa" w:w="2160"/>
          </w:tcPr>
          <w:p>
            <w:r/>
            <w:r>
              <w:rPr>
                <w:sz w:val="20"/>
              </w:rPr>
              <w:t>District boundary polygons (one-off build)</w:t>
            </w:r>
          </w:p>
        </w:tc>
        <w:tc>
          <w:tcPr>
            <w:tcW w:type="dxa" w:w="2160"/>
          </w:tcPr>
          <w:p>
            <w:r/>
            <w:r>
              <w:rPr>
                <w:sz w:val="20"/>
              </w:rPr>
              <w:t>—</w:t>
            </w:r>
          </w:p>
        </w:tc>
        <w:tc>
          <w:tcPr>
            <w:tcW w:type="dxa" w:w="2160"/>
          </w:tcPr>
          <w:p>
            <w:r/>
            <w:r>
              <w:rPr>
                <w:sz w:val="20"/>
              </w:rPr>
              <w:t>No</w:t>
            </w:r>
          </w:p>
        </w:tc>
      </w:tr>
    </w:tbl>
    <w:p/>
    <w:p>
      <w:pPr>
        <w:pStyle w:val="Heading2"/>
      </w:pPr>
      <w:r>
        <w:t>3.4 Communications Interfaces</w:t>
      </w:r>
    </w:p>
    <w:p>
      <w:pPr>
        <w:pStyle w:val="ListBullet"/>
      </w:pPr>
      <w:r>
        <w:t>All client–server communication uses HTTPS.</w:t>
      </w:r>
    </w:p>
    <w:p>
      <w:pPr>
        <w:pStyle w:val="ListBullet"/>
      </w:pPr>
      <w:r>
        <w:t>The front-end reads static JSON/GeoJSON data files over HTTP(S) from its own origin.</w:t>
      </w:r>
    </w:p>
    <w:p>
      <w:pPr>
        <w:pStyle w:val="ListBullet"/>
      </w:pPr>
      <w:r>
        <w:t>The front-end communicates with Supabase over its REST (PostgREST) and Auth HTTPS endpoints.</w:t>
      </w:r>
    </w:p>
    <w:p>
      <w:pPr>
        <w:pStyle w:val="ListBullet"/>
      </w:pPr>
      <w:r>
        <w:t>The pipeline communicates with external sources over HTTPS using REST/JSON, XML or RSS as appropriate.</w:t>
      </w:r>
    </w:p>
    <w:p>
      <w:pPr>
        <w:pStyle w:val="ListBullet"/>
      </w:pPr>
      <w:r>
        <w:t>Authentication e-mails (sign-up confirmation, password reset) are delivered via the configured mail service.</w:t>
      </w:r>
    </w:p>
    <w:p>
      <w:r>
        <w:br w:type="page"/>
      </w:r>
    </w:p>
    <w:p>
      <w:pPr>
        <w:pStyle w:val="Heading1"/>
      </w:pPr>
      <w:r>
        <w:t>4. System Features (Functional Requirements)</w:t>
      </w:r>
    </w:p>
    <w:p>
      <w:pPr>
        <w:pStyle w:val="Heading2"/>
      </w:pPr>
      <w:r>
        <w:t>4.1 Interactive Dashboard and Map</w:t>
      </w:r>
    </w:p>
    <w:p>
      <w:r>
        <w:rPr>
          <w:b w:val="0"/>
          <w:i w:val="0"/>
        </w:rPr>
        <w:t>Description: The landing screen presents a choropleth map of the four territories with selectable data layers and drill-down, together with a side panel summarising resilience and ESG data.</w:t>
      </w:r>
    </w:p>
    <w:p>
      <w:r>
        <w:rPr>
          <w:b w:val="0"/>
          <w:i w:val="0"/>
        </w:rPr>
        <w:t>Priority: High</w:t>
      </w:r>
    </w:p>
    <w:p>
      <w:r>
        <w:rPr>
          <w:b/>
          <w:i w:val="0"/>
        </w:rPr>
        <w:t>Functional Requirements:</w:t>
      </w:r>
    </w:p>
    <w:p>
      <w:pPr>
        <w:pStyle w:val="ListBullet"/>
      </w:pPr>
      <w:r>
        <w:rPr>
          <w:b/>
        </w:rPr>
        <w:t xml:space="preserve">FR-DASH-01: </w:t>
      </w:r>
      <w:r>
        <w:t>The system shall display an interactive map of Sabah, Sarawak, Brunei and Kalimantan as the default (home) view, accessible without login.</w:t>
      </w:r>
    </w:p>
    <w:p>
      <w:pPr>
        <w:pStyle w:val="ListBullet"/>
      </w:pPr>
      <w:r>
        <w:rPr>
          <w:b/>
        </w:rPr>
        <w:t xml:space="preserve">FR-DASH-02: </w:t>
      </w:r>
      <w:r>
        <w:t>The system shall allow the user to toggle between Region level (four territories) and District level (ADM2) drill-down.</w:t>
      </w:r>
    </w:p>
    <w:p>
      <w:pPr>
        <w:pStyle w:val="ListBullet"/>
      </w:pPr>
      <w:r>
        <w:rPr>
          <w:b/>
        </w:rPr>
        <w:t xml:space="preserve">FR-DASH-03: </w:t>
      </w:r>
      <w:r>
        <w:t>The system shall allow the user to select an active data layer (for example Forest Cover, Deforestation, Air Quality, Fire Hotspots, Poverty) and colour the map accordingly.</w:t>
      </w:r>
    </w:p>
    <w:p>
      <w:pPr>
        <w:pStyle w:val="ListBullet"/>
      </w:pPr>
      <w:r>
        <w:rPr>
          <w:b/>
        </w:rPr>
        <w:t xml:space="preserve">FR-DASH-04: </w:t>
      </w:r>
      <w:r>
        <w:t>The system shall allow the user to select a territory, or cascade from province to district, and highlight the selection on the map.</w:t>
      </w:r>
    </w:p>
    <w:p>
      <w:pPr>
        <w:pStyle w:val="ListBullet"/>
      </w:pPr>
      <w:r>
        <w:rPr>
          <w:b/>
        </w:rPr>
        <w:t xml:space="preserve">FR-DASH-05: </w:t>
      </w:r>
      <w:r>
        <w:t>The system shall provide a searchable, ranked autocomplete of all regions and districts that recentres the map on selection.</w:t>
      </w:r>
    </w:p>
    <w:p>
      <w:pPr>
        <w:pStyle w:val="ListBullet"/>
      </w:pPr>
      <w:r>
        <w:rPr>
          <w:b/>
        </w:rPr>
        <w:t xml:space="preserve">FR-DASH-06: </w:t>
      </w:r>
      <w:r>
        <w:t>The system shall display, in a side panel, the territory’s Resilience Index gauge with RAG status, a hexagon radar of the six pillars, weakest-link bars, a money-versus-resilience chart, and ESG indicator cards.</w:t>
      </w:r>
    </w:p>
    <w:p>
      <w:pPr>
        <w:pStyle w:val="ListBullet"/>
      </w:pPr>
      <w:r>
        <w:rPr>
          <w:b/>
        </w:rPr>
        <w:t xml:space="preserve">FR-DASH-07: </w:t>
      </w:r>
      <w:r>
        <w:t>The system shall display, for each shown value, a provenance indicator (source, year and confidence).</w:t>
      </w:r>
    </w:p>
    <w:p>
      <w:pPr>
        <w:pStyle w:val="ListBullet"/>
      </w:pPr>
      <w:r>
        <w:rPr>
          <w:b/>
        </w:rPr>
        <w:t xml:space="preserve">FR-DASH-08: </w:t>
      </w:r>
      <w:r>
        <w:t>The system shall allow the user to zoom, recentre and resize the side panel.</w:t>
      </w:r>
    </w:p>
    <w:p>
      <w:pPr>
        <w:pStyle w:val="Heading2"/>
      </w:pPr>
      <w:r>
        <w:t>4.2 Regional Details and Historical Trends</w:t>
      </w:r>
    </w:p>
    <w:p>
      <w:r>
        <w:rPr>
          <w:b w:val="0"/>
          <w:i w:val="0"/>
        </w:rPr>
        <w:t>Description: A per-territory deep-dive screen showing historical trend and comparison charts for a chosen indicator.</w:t>
      </w:r>
    </w:p>
    <w:p>
      <w:r>
        <w:rPr>
          <w:b w:val="0"/>
          <w:i w:val="0"/>
        </w:rPr>
        <w:t>Priority: High</w:t>
      </w:r>
    </w:p>
    <w:p>
      <w:r>
        <w:rPr>
          <w:b/>
          <w:i w:val="0"/>
        </w:rPr>
        <w:t>Functional Requirements:</w:t>
      </w:r>
    </w:p>
    <w:p>
      <w:pPr>
        <w:pStyle w:val="ListBullet"/>
      </w:pPr>
      <w:r>
        <w:rPr>
          <w:b/>
        </w:rPr>
        <w:t xml:space="preserve">FR-REG-01: </w:t>
      </w:r>
      <w:r>
        <w:t>The system shall allow the user to select a territory and an indicator concept.</w:t>
      </w:r>
    </w:p>
    <w:p>
      <w:pPr>
        <w:pStyle w:val="ListBullet"/>
      </w:pPr>
      <w:r>
        <w:rPr>
          <w:b/>
        </w:rPr>
        <w:t xml:space="preserve">FR-REG-02: </w:t>
      </w:r>
      <w:r>
        <w:t>The system shall display a historical trend (line) chart for the selected indicator using only real, non-interpolated data points.</w:t>
      </w:r>
    </w:p>
    <w:p>
      <w:pPr>
        <w:pStyle w:val="ListBullet"/>
      </w:pPr>
      <w:r>
        <w:rPr>
          <w:b/>
        </w:rPr>
        <w:t xml:space="preserve">FR-REG-03: </w:t>
      </w:r>
      <w:r>
        <w:t>The system shall display a comparison (bar) chart across territories for the selected indicator.</w:t>
      </w:r>
    </w:p>
    <w:p>
      <w:pPr>
        <w:pStyle w:val="ListBullet"/>
      </w:pPr>
      <w:r>
        <w:rPr>
          <w:b/>
        </w:rPr>
        <w:t xml:space="preserve">FR-REG-04: </w:t>
      </w:r>
      <w:r>
        <w:t>The system shall display a hexagon radar and the canonical indicator rows with provenance for the selected territory.</w:t>
      </w:r>
    </w:p>
    <w:p>
      <w:pPr>
        <w:pStyle w:val="ListBullet"/>
      </w:pPr>
      <w:r>
        <w:rPr>
          <w:b/>
        </w:rPr>
        <w:t xml:space="preserve">FR-REG-05: </w:t>
      </w:r>
      <w:r>
        <w:t>The system shall re-render charts correctly when the user switches between light and dark themes.</w:t>
      </w:r>
    </w:p>
    <w:p>
      <w:pPr>
        <w:pStyle w:val="Heading2"/>
      </w:pPr>
      <w:r>
        <w:t>4.3 ESG Indicator Explorer</w:t>
      </w:r>
    </w:p>
    <w:p>
      <w:r>
        <w:rPr>
          <w:b w:val="0"/>
          <w:i w:val="0"/>
        </w:rPr>
        <w:t>Description: A screen for browsing indicators grouped by Environmental, Social and Governance pillars.</w:t>
      </w:r>
    </w:p>
    <w:p>
      <w:r>
        <w:rPr>
          <w:b w:val="0"/>
          <w:i w:val="0"/>
        </w:rPr>
        <w:t>Priority: High</w:t>
      </w:r>
    </w:p>
    <w:p>
      <w:r>
        <w:rPr>
          <w:b/>
          <w:i w:val="0"/>
        </w:rPr>
        <w:t>Functional Requirements:</w:t>
      </w:r>
    </w:p>
    <w:p>
      <w:pPr>
        <w:pStyle w:val="ListBullet"/>
      </w:pPr>
      <w:r>
        <w:rPr>
          <w:b/>
        </w:rPr>
        <w:t xml:space="preserve">FR-ESG-01: </w:t>
      </w:r>
      <w:r>
        <w:t>The system shall allow the user to select a region and an ESG category and display the associated indicators.</w:t>
      </w:r>
    </w:p>
    <w:p>
      <w:pPr>
        <w:pStyle w:val="ListBullet"/>
      </w:pPr>
      <w:r>
        <w:rPr>
          <w:b/>
        </w:rPr>
        <w:t xml:space="preserve">FR-ESG-02: </w:t>
      </w:r>
      <w:r>
        <w:t>The system shall display each indicator’s value, unit, source and RAG status.</w:t>
      </w:r>
    </w:p>
    <w:p>
      <w:pPr>
        <w:pStyle w:val="ListBullet"/>
      </w:pPr>
      <w:r>
        <w:rPr>
          <w:b/>
        </w:rPr>
        <w:t xml:space="preserve">FR-ESG-03: </w:t>
      </w:r>
      <w:r>
        <w:t>The system shall allow the user to export the displayed ESG data as CSV and as a PNG image.</w:t>
      </w:r>
    </w:p>
    <w:p>
      <w:pPr>
        <w:pStyle w:val="Heading2"/>
      </w:pPr>
      <w:r>
        <w:t>4.4 SDG Progress Explorer</w:t>
      </w:r>
    </w:p>
    <w:p>
      <w:r>
        <w:rPr>
          <w:b w:val="0"/>
          <w:i w:val="0"/>
        </w:rPr>
        <w:t>Description: A screen for browsing progress against the tracked UN Sustainable Development Goals.</w:t>
      </w:r>
    </w:p>
    <w:p>
      <w:r>
        <w:rPr>
          <w:b w:val="0"/>
          <w:i w:val="0"/>
        </w:rPr>
        <w:t>Priority: High</w:t>
      </w:r>
    </w:p>
    <w:p>
      <w:r>
        <w:rPr>
          <w:b/>
          <w:i w:val="0"/>
        </w:rPr>
        <w:t>Functional Requirements:</w:t>
      </w:r>
    </w:p>
    <w:p>
      <w:pPr>
        <w:pStyle w:val="ListBullet"/>
      </w:pPr>
      <w:r>
        <w:rPr>
          <w:b/>
        </w:rPr>
        <w:t xml:space="preserve">FR-SDG-01: </w:t>
      </w:r>
      <w:r>
        <w:t>The system shall allow the user to select a region and an SDG goal and display the associated indicators and progress.</w:t>
      </w:r>
    </w:p>
    <w:p>
      <w:pPr>
        <w:pStyle w:val="ListBullet"/>
      </w:pPr>
      <w:r>
        <w:rPr>
          <w:b/>
        </w:rPr>
        <w:t xml:space="preserve">FR-SDG-02: </w:t>
      </w:r>
      <w:r>
        <w:t>The system shall map each indicator to its relevant SDG goal.</w:t>
      </w:r>
    </w:p>
    <w:p>
      <w:pPr>
        <w:pStyle w:val="ListBullet"/>
      </w:pPr>
      <w:r>
        <w:rPr>
          <w:b/>
        </w:rPr>
        <w:t xml:space="preserve">FR-SDG-03: </w:t>
      </w:r>
      <w:r>
        <w:t>The system shall allow the user to export the displayed SDG data as CSV and as a PNG image.</w:t>
      </w:r>
    </w:p>
    <w:p>
      <w:pPr>
        <w:pStyle w:val="Heading2"/>
      </w:pPr>
      <w:r>
        <w:t>4.5 Resilience Index and True Wealth Hexagon</w:t>
      </w:r>
    </w:p>
    <w:p>
      <w:r>
        <w:rPr>
          <w:b w:val="0"/>
          <w:i w:val="0"/>
        </w:rPr>
        <w:t>Description: The core analytical feature that scores each territory’s survival-pillar resilience and replaces GDP as the headline measure.</w:t>
      </w:r>
    </w:p>
    <w:p>
      <w:r>
        <w:rPr>
          <w:b w:val="0"/>
          <w:i w:val="0"/>
        </w:rPr>
        <w:t>Priority: High</w:t>
      </w:r>
    </w:p>
    <w:p>
      <w:r>
        <w:rPr>
          <w:b/>
          <w:i w:val="0"/>
        </w:rPr>
        <w:t>Functional Requirements:</w:t>
      </w:r>
    </w:p>
    <w:p>
      <w:pPr>
        <w:pStyle w:val="ListBullet"/>
      </w:pPr>
      <w:r>
        <w:rPr>
          <w:b/>
        </w:rPr>
        <w:t xml:space="preserve">FR-RES-01: </w:t>
      </w:r>
      <w:r>
        <w:t>The system shall normalise each scorable indicator to a 0–100 scale against documented best/worst bounds, inverting indicators for which a lower value is better.</w:t>
      </w:r>
    </w:p>
    <w:p>
      <w:pPr>
        <w:pStyle w:val="ListBullet"/>
      </w:pPr>
      <w:r>
        <w:rPr>
          <w:b/>
        </w:rPr>
        <w:t xml:space="preserve">FR-RES-02: </w:t>
      </w:r>
      <w:r>
        <w:t>The system shall compute a score for each of the six pillars (Food, Energy, Education, Shelter, Healthcare, Entertainment) as the mean of that pillar’s scored indicators.</w:t>
      </w:r>
    </w:p>
    <w:p>
      <w:pPr>
        <w:pStyle w:val="ListBullet"/>
      </w:pPr>
      <w:r>
        <w:rPr>
          <w:b/>
        </w:rPr>
        <w:t xml:space="preserve">FR-RES-03: </w:t>
      </w:r>
      <w:r>
        <w:t>The system shall compute an overall Resilience Index as the mean of the scored pillars, excluding (and explicitly listing) any pillar that has no data, without imputing values.</w:t>
      </w:r>
    </w:p>
    <w:p>
      <w:pPr>
        <w:pStyle w:val="ListBullet"/>
      </w:pPr>
      <w:r>
        <w:rPr>
          <w:b/>
        </w:rPr>
        <w:t xml:space="preserve">FR-RES-04: </w:t>
      </w:r>
      <w:r>
        <w:t>The system shall also compute a strict (geometric-mean) index that penalises imbalance and reflects the weakest-link principle.</w:t>
      </w:r>
    </w:p>
    <w:p>
      <w:pPr>
        <w:pStyle w:val="ListBullet"/>
      </w:pPr>
      <w:r>
        <w:rPr>
          <w:b/>
        </w:rPr>
        <w:t xml:space="preserve">FR-RES-05: </w:t>
      </w:r>
      <w:r>
        <w:t>The system shall identify and display the weakest pillar for each territory.</w:t>
      </w:r>
    </w:p>
    <w:p>
      <w:pPr>
        <w:pStyle w:val="ListBullet"/>
      </w:pPr>
      <w:r>
        <w:rPr>
          <w:b/>
        </w:rPr>
        <w:t xml:space="preserve">FR-RES-06: </w:t>
      </w:r>
      <w:r>
        <w:t>The system shall classify each index/indicator as Red, Amber or Green using defined thresholds (Green ≥ 70, Amber ≥ 40, otherwise Red).</w:t>
      </w:r>
    </w:p>
    <w:p>
      <w:pPr>
        <w:pStyle w:val="ListBullet"/>
      </w:pPr>
      <w:r>
        <w:rPr>
          <w:b/>
        </w:rPr>
        <w:t xml:space="preserve">FR-RES-07: </w:t>
      </w:r>
      <w:r>
        <w:t>The system shall present the money-versus-resilience relationship to illustrate the "paper wealth versus true wealth" thesis.</w:t>
      </w:r>
    </w:p>
    <w:p>
      <w:pPr>
        <w:pStyle w:val="Heading2"/>
      </w:pPr>
      <w:r>
        <w:t>4.6 Data Integration and ETL Pipeline</w:t>
      </w:r>
    </w:p>
    <w:p>
      <w:r>
        <w:rPr>
          <w:b w:val="0"/>
          <w:i w:val="0"/>
        </w:rPr>
        <w:t>Description: The automated back-end that collects, transforms, stores and exports all analytics data.</w:t>
      </w:r>
    </w:p>
    <w:p>
      <w:r>
        <w:rPr>
          <w:b w:val="0"/>
          <w:i w:val="0"/>
        </w:rPr>
        <w:t>Priority: High</w:t>
      </w:r>
    </w:p>
    <w:p>
      <w:r>
        <w:rPr>
          <w:b/>
          <w:i w:val="0"/>
        </w:rPr>
        <w:t>Functional Requirements:</w:t>
      </w:r>
    </w:p>
    <w:p>
      <w:pPr>
        <w:pStyle w:val="ListBullet"/>
      </w:pPr>
      <w:r>
        <w:rPr>
          <w:b/>
        </w:rPr>
        <w:t xml:space="preserve">FR-ETL-01: </w:t>
      </w:r>
      <w:r>
        <w:t>The system shall collect indicator data from the defined external open-data sources through scheduled back-end scripts.</w:t>
      </w:r>
    </w:p>
    <w:p>
      <w:pPr>
        <w:pStyle w:val="ListBullet"/>
      </w:pPr>
      <w:r>
        <w:rPr>
          <w:b/>
        </w:rPr>
        <w:t xml:space="preserve">FR-ETL-02: </w:t>
      </w:r>
      <w:r>
        <w:t>The system shall transform raw data into a standard schema (territory, indicator, year, value, unit, source, data_level) and enrich it with ESG, SDG and hexagon-pillar mappings and a confidence tag.</w:t>
      </w:r>
    </w:p>
    <w:p>
      <w:pPr>
        <w:pStyle w:val="ListBullet"/>
      </w:pPr>
      <w:r>
        <w:rPr>
          <w:b/>
        </w:rPr>
        <w:t xml:space="preserve">FR-ETL-03: </w:t>
      </w:r>
      <w:r>
        <w:t>The system shall reconcile the differing administrative levels of the four territories, rolling up the five Kalimantan provinces into a single territory and inheriting national-only metrics with a confidence penalty.</w:t>
      </w:r>
    </w:p>
    <w:p>
      <w:pPr>
        <w:pStyle w:val="ListBullet"/>
      </w:pPr>
      <w:r>
        <w:rPr>
          <w:b/>
        </w:rPr>
        <w:t xml:space="preserve">FR-ETL-04: </w:t>
      </w:r>
      <w:r>
        <w:t>The system shall select a single canonical value per (territory, concept) using a defined priority order.</w:t>
      </w:r>
    </w:p>
    <w:p>
      <w:pPr>
        <w:pStyle w:val="ListBullet"/>
      </w:pPr>
      <w:r>
        <w:rPr>
          <w:b/>
        </w:rPr>
        <w:t xml:space="preserve">FR-ETL-05: </w:t>
      </w:r>
      <w:r>
        <w:t>The system shall store processed data and historical observations in a validated SQLite database and export them as JSON/GeoJSON for the front-end.</w:t>
      </w:r>
    </w:p>
    <w:p>
      <w:pPr>
        <w:pStyle w:val="ListBullet"/>
      </w:pPr>
      <w:r>
        <w:rPr>
          <w:b/>
        </w:rPr>
        <w:t xml:space="preserve">FR-ETL-06: </w:t>
      </w:r>
      <w:r>
        <w:t>The system shall refresh the dashboard data automatically on a daily schedule and commit the updated data files.</w:t>
      </w:r>
    </w:p>
    <w:p>
      <w:pPr>
        <w:pStyle w:val="ListBullet"/>
      </w:pPr>
      <w:r>
        <w:rPr>
          <w:b/>
        </w:rPr>
        <w:t xml:space="preserve">FR-ETL-07: </w:t>
      </w:r>
      <w:r>
        <w:t>The system shall throttle requests to rate-limited sources and provide fallbacks where a source is unavailable.</w:t>
      </w:r>
    </w:p>
    <w:p>
      <w:pPr>
        <w:pStyle w:val="ListBullet"/>
      </w:pPr>
      <w:r>
        <w:rPr>
          <w:b/>
        </w:rPr>
        <w:t xml:space="preserve">FR-ETL-08: </w:t>
      </w:r>
      <w:r>
        <w:t>The system shall validate database integrity (structure, expected columns and per-territory coverage) before publishing.</w:t>
      </w:r>
    </w:p>
    <w:p>
      <w:pPr>
        <w:pStyle w:val="Heading2"/>
      </w:pPr>
      <w:r>
        <w:t>4.7 News and Insights (Borneo Pulse)</w:t>
      </w:r>
    </w:p>
    <w:p>
      <w:r>
        <w:rPr>
          <w:b w:val="0"/>
          <w:i w:val="0"/>
        </w:rPr>
        <w:t>Description: An AI-assisted sustainability news digest with an administrative approval workflow.</w:t>
      </w:r>
    </w:p>
    <w:p>
      <w:r>
        <w:rPr>
          <w:b w:val="0"/>
          <w:i w:val="0"/>
        </w:rPr>
        <w:t>Priority: High</w:t>
      </w:r>
    </w:p>
    <w:p>
      <w:r>
        <w:rPr>
          <w:b/>
          <w:i w:val="0"/>
        </w:rPr>
        <w:t>Functional Requirements:</w:t>
      </w:r>
    </w:p>
    <w:p>
      <w:pPr>
        <w:pStyle w:val="ListBullet"/>
      </w:pPr>
      <w:r>
        <w:rPr>
          <w:b/>
        </w:rPr>
        <w:t xml:space="preserve">FR-NEWS-01: </w:t>
      </w:r>
      <w:r>
        <w:t>The system shall collect Borneo sustainability news from configured publisher and news RSS feeds on a daily schedule.</w:t>
      </w:r>
    </w:p>
    <w:p>
      <w:pPr>
        <w:pStyle w:val="ListBullet"/>
      </w:pPr>
      <w:r>
        <w:rPr>
          <w:b/>
        </w:rPr>
        <w:t xml:space="preserve">FR-NEWS-02: </w:t>
      </w:r>
      <w:r>
        <w:t>The system shall use an AI service to filter, rewrite in English and summarise articles, tagging each with topic, territory and language, while guarding against fabricated content.</w:t>
      </w:r>
    </w:p>
    <w:p>
      <w:pPr>
        <w:pStyle w:val="ListBullet"/>
      </w:pPr>
      <w:r>
        <w:rPr>
          <w:b/>
        </w:rPr>
        <w:t xml:space="preserve">FR-NEWS-03: </w:t>
      </w:r>
      <w:r>
        <w:t>The system shall store AI-generated drafts with a status of "pending" in the hosted database.</w:t>
      </w:r>
    </w:p>
    <w:p>
      <w:pPr>
        <w:pStyle w:val="ListBullet"/>
      </w:pPr>
      <w:r>
        <w:rPr>
          <w:b/>
        </w:rPr>
        <w:t xml:space="preserve">FR-NEWS-04: </w:t>
      </w:r>
      <w:r>
        <w:t>The system shall display on the public news page only articles whose status is "published".</w:t>
      </w:r>
    </w:p>
    <w:p>
      <w:pPr>
        <w:pStyle w:val="ListBullet"/>
      </w:pPr>
      <w:r>
        <w:rPr>
          <w:b/>
        </w:rPr>
        <w:t xml:space="preserve">FR-NEWS-05: </w:t>
      </w:r>
      <w:r>
        <w:t>The system shall allow the public to search, filter (by territory, country, topic), sort and paginate the news feed, and to open a full article with related articles.</w:t>
      </w:r>
    </w:p>
    <w:p>
      <w:pPr>
        <w:pStyle w:val="ListBullet"/>
      </w:pPr>
      <w:r>
        <w:rPr>
          <w:b/>
        </w:rPr>
        <w:t xml:space="preserve">FR-NEWS-06: </w:t>
      </w:r>
      <w:r>
        <w:t>The system shall provide an administrative review queue in which an administrator can approve, edit-and-publish or reject each pending draft.</w:t>
      </w:r>
    </w:p>
    <w:p>
      <w:pPr>
        <w:pStyle w:val="ListBullet"/>
      </w:pPr>
      <w:r>
        <w:rPr>
          <w:b/>
        </w:rPr>
        <w:t xml:space="preserve">FR-NEWS-07: </w:t>
      </w:r>
      <w:r>
        <w:t>The system shall enforce, at the database level, that anonymous readers can read only published news while administrators can read and update all news.</w:t>
      </w:r>
    </w:p>
    <w:p>
      <w:pPr>
        <w:pStyle w:val="Heading2"/>
      </w:pPr>
      <w:r>
        <w:t>4.8 Community</w:t>
      </w:r>
    </w:p>
    <w:p>
      <w:r>
        <w:rPr>
          <w:b w:val="0"/>
          <w:i w:val="0"/>
        </w:rPr>
        <w:t>Description: A social feed allowing citizens to share posts, attachments and comments.</w:t>
      </w:r>
    </w:p>
    <w:p>
      <w:r>
        <w:rPr>
          <w:b w:val="0"/>
          <w:i w:val="0"/>
        </w:rPr>
        <w:t>Priority: Medium</w:t>
      </w:r>
    </w:p>
    <w:p>
      <w:r>
        <w:rPr>
          <w:b/>
          <w:i w:val="0"/>
        </w:rPr>
        <w:t>Functional Requirements:</w:t>
      </w:r>
    </w:p>
    <w:p>
      <w:pPr>
        <w:pStyle w:val="ListBullet"/>
      </w:pPr>
      <w:r>
        <w:rPr>
          <w:b/>
        </w:rPr>
        <w:t xml:space="preserve">FR-COM-01: </w:t>
      </w:r>
      <w:r>
        <w:t>The system shall allow a user to create a post with text and attachments (images, videos and documents).</w:t>
      </w:r>
    </w:p>
    <w:p>
      <w:pPr>
        <w:pStyle w:val="ListBullet"/>
      </w:pPr>
      <w:r>
        <w:rPr>
          <w:b/>
        </w:rPr>
        <w:t xml:space="preserve">FR-COM-02: </w:t>
      </w:r>
      <w:r>
        <w:t>The system shall validate attachments against defined type, size and count limits before accepting them.</w:t>
      </w:r>
    </w:p>
    <w:p>
      <w:pPr>
        <w:pStyle w:val="ListBullet"/>
      </w:pPr>
      <w:r>
        <w:rPr>
          <w:b/>
        </w:rPr>
        <w:t xml:space="preserve">FR-COM-03: </w:t>
      </w:r>
      <w:r>
        <w:t>The system shall allow users to like posts, comment on posts, like comments and delete their own posts.</w:t>
      </w:r>
    </w:p>
    <w:p>
      <w:pPr>
        <w:pStyle w:val="ListBullet"/>
      </w:pPr>
      <w:r>
        <w:rPr>
          <w:b/>
        </w:rPr>
        <w:t xml:space="preserve">FR-COM-04: </w:t>
      </w:r>
      <w:r>
        <w:t>The system shall allow filtering by topic and region, searching, and sharing a link to an individual post.</w:t>
      </w:r>
    </w:p>
    <w:p>
      <w:pPr>
        <w:pStyle w:val="ListBullet"/>
      </w:pPr>
      <w:r>
        <w:rPr>
          <w:b/>
        </w:rPr>
        <w:t xml:space="preserve">FR-COM-05: </w:t>
      </w:r>
      <w:r>
        <w:t>The system shall persist post metadata and attachments in the browser storage layer in the current version. (A server-side backend for the community feed is planned.)</w:t>
      </w:r>
    </w:p>
    <w:p>
      <w:pPr>
        <w:pStyle w:val="Heading2"/>
      </w:pPr>
      <w:r>
        <w:t>4.9 Report Generation and Data Export</w:t>
      </w:r>
    </w:p>
    <w:p>
      <w:r>
        <w:rPr>
          <w:b w:val="0"/>
          <w:i w:val="0"/>
        </w:rPr>
        <w:t>Description: Generation of a formatted ESG &amp; SDG data-profile report and export of underlying data.</w:t>
      </w:r>
    </w:p>
    <w:p>
      <w:r>
        <w:rPr>
          <w:b w:val="0"/>
          <w:i w:val="0"/>
        </w:rPr>
        <w:t>Priority: Medium</w:t>
      </w:r>
    </w:p>
    <w:p>
      <w:r>
        <w:rPr>
          <w:b/>
          <w:i w:val="0"/>
        </w:rPr>
        <w:t>Functional Requirements:</w:t>
      </w:r>
    </w:p>
    <w:p>
      <w:pPr>
        <w:pStyle w:val="ListBullet"/>
      </w:pPr>
      <w:r>
        <w:rPr>
          <w:b/>
        </w:rPr>
        <w:t xml:space="preserve">FR-RPT-01: </w:t>
      </w:r>
      <w:r>
        <w:t>The system shall allow the user to select a territory (or All Borneo) and choose which report sections to include.</w:t>
      </w:r>
    </w:p>
    <w:p>
      <w:pPr>
        <w:pStyle w:val="ListBullet"/>
      </w:pPr>
      <w:r>
        <w:rPr>
          <w:b/>
        </w:rPr>
        <w:t xml:space="preserve">FR-RPT-02: </w:t>
      </w:r>
      <w:r>
        <w:t>The system shall generate a multi-page PDF report containing an executive summary, indicator sections, SDG coverage, coverage and limitations, and methodology.</w:t>
      </w:r>
    </w:p>
    <w:p>
      <w:pPr>
        <w:pStyle w:val="ListBullet"/>
      </w:pPr>
      <w:r>
        <w:rPr>
          <w:b/>
        </w:rPr>
        <w:t xml:space="preserve">FR-RPT-03: </w:t>
      </w:r>
      <w:r>
        <w:t>The system shall allow the user to export indicator data as CSV and screen elements as PNG images.</w:t>
      </w:r>
    </w:p>
    <w:p>
      <w:pPr>
        <w:pStyle w:val="Heading2"/>
      </w:pPr>
      <w:r>
        <w:t>4.10 Authentication and Access Control</w:t>
      </w:r>
    </w:p>
    <w:p>
      <w:r>
        <w:rPr>
          <w:b w:val="0"/>
          <w:i w:val="0"/>
        </w:rPr>
        <w:t>Description: User registration, sign-in and role-based access, unified on the hosted authentication service.</w:t>
      </w:r>
    </w:p>
    <w:p>
      <w:r>
        <w:rPr>
          <w:b w:val="0"/>
          <w:i w:val="0"/>
        </w:rPr>
        <w:t>Priority: High</w:t>
      </w:r>
    </w:p>
    <w:p>
      <w:r>
        <w:rPr>
          <w:b/>
          <w:i w:val="0"/>
        </w:rPr>
        <w:t>Functional Requirements:</w:t>
      </w:r>
    </w:p>
    <w:p>
      <w:pPr>
        <w:pStyle w:val="ListBullet"/>
      </w:pPr>
      <w:r>
        <w:rPr>
          <w:b/>
        </w:rPr>
        <w:t xml:space="preserve">FR-AUTH-01: </w:t>
      </w:r>
      <w:r>
        <w:t>The system shall allow a visitor to register an account and to sign in with an e-mail address and password.</w:t>
      </w:r>
    </w:p>
    <w:p>
      <w:pPr>
        <w:pStyle w:val="ListBullet"/>
      </w:pPr>
      <w:r>
        <w:rPr>
          <w:b/>
        </w:rPr>
        <w:t xml:space="preserve">FR-AUTH-02: </w:t>
      </w:r>
      <w:r>
        <w:t>The system shall support password reset via an e-mailed link and confirmation of sign-up via e-mail.</w:t>
      </w:r>
    </w:p>
    <w:p>
      <w:pPr>
        <w:pStyle w:val="ListBullet"/>
      </w:pPr>
      <w:r>
        <w:rPr>
          <w:b/>
        </w:rPr>
        <w:t xml:space="preserve">FR-AUTH-03: </w:t>
      </w:r>
      <w:r>
        <w:t>The system shall automatically create a user profile on sign-up with a default role of "user".</w:t>
      </w:r>
    </w:p>
    <w:p>
      <w:pPr>
        <w:pStyle w:val="ListBullet"/>
      </w:pPr>
      <w:r>
        <w:rPr>
          <w:b/>
        </w:rPr>
        <w:t xml:space="preserve">FR-AUTH-04: </w:t>
      </w:r>
      <w:r>
        <w:t>The system shall restrict the profile page to authenticated users and the administrative pages to users with the "admin" role.</w:t>
      </w:r>
    </w:p>
    <w:p>
      <w:pPr>
        <w:pStyle w:val="ListBullet"/>
      </w:pPr>
      <w:r>
        <w:rPr>
          <w:b/>
        </w:rPr>
        <w:t xml:space="preserve">FR-AUTH-05: </w:t>
      </w:r>
      <w:r>
        <w:t>The system shall prevent a user from elevating their own role or status.</w:t>
      </w:r>
    </w:p>
    <w:p>
      <w:pPr>
        <w:pStyle w:val="ListBullet"/>
      </w:pPr>
      <w:r>
        <w:rPr>
          <w:b/>
        </w:rPr>
        <w:t xml:space="preserve">FR-AUTH-06: </w:t>
      </w:r>
      <w:r>
        <w:t>The system shall allow an authenticated user to view and edit their personal details and change their password.</w:t>
      </w:r>
    </w:p>
    <w:p>
      <w:pPr>
        <w:pStyle w:val="Heading2"/>
      </w:pPr>
      <w:r>
        <w:t>4.11 Administrative Back-office</w:t>
      </w:r>
    </w:p>
    <w:p>
      <w:r>
        <w:rPr>
          <w:b w:val="0"/>
          <w:i w:val="0"/>
        </w:rPr>
        <w:t>Description: Tools available only to administrators for managing content and users.</w:t>
      </w:r>
    </w:p>
    <w:p>
      <w:r>
        <w:rPr>
          <w:b w:val="0"/>
          <w:i w:val="0"/>
        </w:rPr>
        <w:t>Priority: High</w:t>
      </w:r>
    </w:p>
    <w:p>
      <w:r>
        <w:rPr>
          <w:b/>
          <w:i w:val="0"/>
        </w:rPr>
        <w:t>Functional Requirements:</w:t>
      </w:r>
    </w:p>
    <w:p>
      <w:pPr>
        <w:pStyle w:val="ListBullet"/>
      </w:pPr>
      <w:r>
        <w:rPr>
          <w:b/>
        </w:rPr>
        <w:t xml:space="preserve">FR-ADM-01: </w:t>
      </w:r>
      <w:r>
        <w:t>The system shall provide administrators a news moderation screen to approve, edit, publish or reject drafts and to view published and rejected items.</w:t>
      </w:r>
    </w:p>
    <w:p>
      <w:pPr>
        <w:pStyle w:val="ListBullet"/>
      </w:pPr>
      <w:r>
        <w:rPr>
          <w:b/>
        </w:rPr>
        <w:t xml:space="preserve">FR-ADM-02: </w:t>
      </w:r>
      <w:r>
        <w:t>The system shall provide administrators a user-management screen listing accounts with search, status filter and pagination.</w:t>
      </w:r>
    </w:p>
    <w:p>
      <w:pPr>
        <w:pStyle w:val="ListBullet"/>
      </w:pPr>
      <w:r>
        <w:rPr>
          <w:b/>
        </w:rPr>
        <w:t xml:space="preserve">FR-ADM-03: </w:t>
      </w:r>
      <w:r>
        <w:t>The system shall allow administrators to suspend or reactivate user accounts.</w:t>
      </w:r>
    </w:p>
    <w:p>
      <w:pPr>
        <w:pStyle w:val="ListBullet"/>
      </w:pPr>
      <w:r>
        <w:rPr>
          <w:b/>
        </w:rPr>
        <w:t xml:space="preserve">FR-ADM-04: </w:t>
      </w:r>
      <w:r>
        <w:t>The system shall show administrative navigation only to users with the "admin" role.</w:t>
      </w:r>
    </w:p>
    <w:p>
      <w:pPr>
        <w:pStyle w:val="Heading2"/>
      </w:pPr>
      <w:r>
        <w:t>4.12 Theming and Internationalisation</w:t>
      </w:r>
    </w:p>
    <w:p>
      <w:r>
        <w:rPr>
          <w:b w:val="0"/>
          <w:i w:val="0"/>
        </w:rPr>
        <w:t>Description: Presentation preferences persisted across sessions.</w:t>
      </w:r>
    </w:p>
    <w:p>
      <w:r>
        <w:rPr>
          <w:b w:val="0"/>
          <w:i w:val="0"/>
        </w:rPr>
        <w:t>Priority: Medium</w:t>
      </w:r>
    </w:p>
    <w:p>
      <w:r>
        <w:rPr>
          <w:b/>
          <w:i w:val="0"/>
        </w:rPr>
        <w:t>Functional Requirements:</w:t>
      </w:r>
    </w:p>
    <w:p>
      <w:pPr>
        <w:pStyle w:val="ListBullet"/>
      </w:pPr>
      <w:r>
        <w:rPr>
          <w:b/>
        </w:rPr>
        <w:t xml:space="preserve">FR-UI-01: </w:t>
      </w:r>
      <w:r>
        <w:t>The system shall allow the user to switch between light and dark themes, persist the choice, and respect the system preference by default.</w:t>
      </w:r>
    </w:p>
    <w:p>
      <w:pPr>
        <w:pStyle w:val="ListBullet"/>
      </w:pPr>
      <w:r>
        <w:rPr>
          <w:b/>
        </w:rPr>
        <w:t xml:space="preserve">FR-UI-02: </w:t>
      </w:r>
      <w:r>
        <w:t>The system shall support English and Bahasa Melayu, allow the user to switch language, and persist the choice.</w:t>
      </w:r>
    </w:p>
    <w:p>
      <w:pPr>
        <w:pStyle w:val="ListBullet"/>
      </w:pPr>
      <w:r>
        <w:rPr>
          <w:b/>
        </w:rPr>
        <w:t xml:space="preserve">FR-UI-03: </w:t>
      </w:r>
      <w:r>
        <w:t>The system shall display unread indicators for the News and Community sections and allow the user to mute them.</w:t>
      </w:r>
    </w:p>
    <w:p>
      <w:pPr>
        <w:pStyle w:val="Heading2"/>
      </w:pPr>
      <w:r>
        <w:t>4.13 AI Sustainability Assistant (Planned)</w:t>
      </w:r>
    </w:p>
    <w:p>
      <w:r>
        <w:rPr>
          <w:b w:val="0"/>
          <w:i w:val="0"/>
        </w:rPr>
        <w:t>Description: A public, grounded question-answering assistant about the platform’s sustainability data. A placeholder button exists in the interface; the conversational capability is not yet built.</w:t>
      </w:r>
    </w:p>
    <w:p>
      <w:r>
        <w:rPr>
          <w:b w:val="0"/>
          <w:i w:val="0"/>
        </w:rPr>
        <w:t>Priority: Medium (Planned)</w:t>
      </w:r>
    </w:p>
    <w:p>
      <w:r>
        <w:rPr>
          <w:b/>
          <w:i w:val="0"/>
        </w:rPr>
        <w:t>Functional Requirements:</w:t>
      </w:r>
    </w:p>
    <w:p>
      <w:pPr>
        <w:pStyle w:val="ListBullet"/>
      </w:pPr>
      <w:r>
        <w:rPr>
          <w:b/>
        </w:rPr>
        <w:t xml:space="preserve">FR-AI-01: </w:t>
      </w:r>
      <w:r>
        <w:t>(Planned) The system shall allow any visitor to ask natural-language questions about the sustainability data without logging in.</w:t>
      </w:r>
    </w:p>
    <w:p>
      <w:pPr>
        <w:pStyle w:val="ListBullet"/>
      </w:pPr>
      <w:r>
        <w:rPr>
          <w:b/>
        </w:rPr>
        <w:t xml:space="preserve">FR-AI-02: </w:t>
      </w:r>
      <w:r>
        <w:t>(Planned) The system shall ground each answer in the platform’s own data and cite the sources used.</w:t>
      </w:r>
    </w:p>
    <w:p>
      <w:pPr>
        <w:pStyle w:val="ListBullet"/>
      </w:pPr>
      <w:r>
        <w:rPr>
          <w:b/>
        </w:rPr>
        <w:t xml:space="preserve">FR-AI-03: </w:t>
      </w:r>
      <w:r>
        <w:t>(Planned) The system shall decline to answer, rather than fabricate, when the data does not support an answer.</w:t>
      </w:r>
    </w:p>
    <w:p>
      <w:pPr>
        <w:pStyle w:val="Heading2"/>
      </w:pPr>
      <w:r>
        <w:t>4.14 Blockchain Integration (Planned)</w:t>
      </w:r>
    </w:p>
    <w:p>
      <w:r>
        <w:rPr>
          <w:b w:val="0"/>
          <w:i w:val="0"/>
        </w:rPr>
        <w:t>Description: Integration of blockchain (the "B" in the ABCDE Framework) to strengthen data integrity and support verifiable, self-sovereign records. This module is at the research stage.</w:t>
      </w:r>
    </w:p>
    <w:p>
      <w:r>
        <w:rPr>
          <w:b w:val="0"/>
          <w:i w:val="0"/>
        </w:rPr>
        <w:t>Priority: Low (Planned)</w:t>
      </w:r>
    </w:p>
    <w:p>
      <w:r>
        <w:rPr>
          <w:b/>
          <w:i w:val="0"/>
        </w:rPr>
        <w:t>Functional Requirements:</w:t>
      </w:r>
    </w:p>
    <w:p>
      <w:pPr>
        <w:pStyle w:val="ListBullet"/>
      </w:pPr>
      <w:r>
        <w:rPr>
          <w:b/>
        </w:rPr>
        <w:t xml:space="preserve">FR-BC-01: </w:t>
      </w:r>
      <w:r>
        <w:t>(Planned) The system shall research and select a suitable blockchain approach for recording and verifying the integrity of published data.</w:t>
      </w:r>
    </w:p>
    <w:p>
      <w:pPr>
        <w:pStyle w:val="ListBullet"/>
      </w:pPr>
      <w:r>
        <w:rPr>
          <w:b/>
        </w:rPr>
        <w:t xml:space="preserve">FR-BC-02: </w:t>
      </w:r>
      <w:r>
        <w:t>(Planned) The system shall provide a proof-of-concept that records a tamper-evident reference to a published dataset or record.</w:t>
      </w:r>
    </w:p>
    <w:p>
      <w:pPr>
        <w:pStyle w:val="ListBullet"/>
      </w:pPr>
      <w:r>
        <w:rPr>
          <w:b/>
        </w:rPr>
        <w:t xml:space="preserve">FR-BC-03: </w:t>
      </w:r>
      <w:r>
        <w:t>(Planned) The system shall allow verification that a displayed record has not been altered since publication.</w:t>
      </w:r>
    </w:p>
    <w:p>
      <w:r>
        <w:br w:type="page"/>
      </w:r>
    </w:p>
    <w:p>
      <w:pPr>
        <w:pStyle w:val="Heading1"/>
      </w:pPr>
      <w:r>
        <w:t>5. Other Non-functional Requirements</w:t>
      </w:r>
    </w:p>
    <w:p>
      <w:pPr>
        <w:pStyle w:val="Heading2"/>
      </w:pPr>
      <w:r>
        <w:t>5.1 Performance Requirements</w:t>
      </w:r>
    </w:p>
    <w:p>
      <w:pPr>
        <w:pStyle w:val="ListBullet"/>
      </w:pPr>
      <w:r>
        <w:t>NFR-PERF-01: The front-end shall load core dashboard data from pre-generated static files so that the initial dashboard is usable within a few seconds on a typical broadband connection.</w:t>
      </w:r>
    </w:p>
    <w:p>
      <w:pPr>
        <w:pStyle w:val="ListBullet"/>
      </w:pPr>
      <w:r>
        <w:t>NFR-PERF-02: The browser shall not perform live calls to external data-source APIs; all heavy data collection is performed by the scheduled back-end.</w:t>
      </w:r>
    </w:p>
    <w:p>
      <w:pPr>
        <w:pStyle w:val="ListBullet"/>
      </w:pPr>
      <w:r>
        <w:t>NFR-PERF-03: The data pipeline shall respect external rate limits (for example throttling OpenDOSM requests) and complete a daily refresh within the runner time limits.</w:t>
      </w:r>
    </w:p>
    <w:p>
      <w:pPr>
        <w:pStyle w:val="ListBullet"/>
      </w:pPr>
      <w:r>
        <w:t>NFR-PERF-04: The interface shall remain responsive during map interaction, filtering and search.</w:t>
      </w:r>
    </w:p>
    <w:p>
      <w:pPr>
        <w:pStyle w:val="Heading2"/>
      </w:pPr>
      <w:r>
        <w:t>5.2 Safety Requirements</w:t>
      </w:r>
    </w:p>
    <w:p>
      <w:pPr>
        <w:pStyle w:val="ListBullet"/>
      </w:pPr>
      <w:r>
        <w:t>NFR-SAFE-01: The system shall never fabricate or interpolate missing data; gaps shall be shown honestly with their provenance.</w:t>
      </w:r>
    </w:p>
    <w:p>
      <w:pPr>
        <w:pStyle w:val="ListBullet"/>
      </w:pPr>
      <w:r>
        <w:t>NFR-SAFE-02: A failure of a single external source shall not prevent the remainder of the daily refresh from completing.</w:t>
      </w:r>
    </w:p>
    <w:p>
      <w:pPr>
        <w:pStyle w:val="ListBullet"/>
      </w:pPr>
      <w:r>
        <w:t>NFR-SAFE-03: The system shall retain a snapshot/fallback of the database so that a corrupt refresh does not destroy the last good data.</w:t>
      </w:r>
    </w:p>
    <w:p>
      <w:pPr>
        <w:pStyle w:val="Heading2"/>
      </w:pPr>
      <w:r>
        <w:t>5.3 Security Requirements</w:t>
      </w:r>
    </w:p>
    <w:p>
      <w:pPr>
        <w:pStyle w:val="ListBullet"/>
      </w:pPr>
      <w:r>
        <w:t>NFR-SEC-01: All communication shall use HTTPS.</w:t>
      </w:r>
    </w:p>
    <w:p>
      <w:pPr>
        <w:pStyle w:val="ListBullet"/>
      </w:pPr>
      <w:r>
        <w:t>NFR-SEC-02: Authentication and passwords shall be handled by the managed authentication service; the application shall not store plaintext passwords.</w:t>
      </w:r>
    </w:p>
    <w:p>
      <w:pPr>
        <w:pStyle w:val="ListBullet"/>
      </w:pPr>
      <w:r>
        <w:t>NFR-SEC-03: Access to administrative functions shall be restricted to the "admin" role and enforced by database Row-Level Security, not only in the interface.</w:t>
      </w:r>
    </w:p>
    <w:p>
      <w:pPr>
        <w:pStyle w:val="ListBullet"/>
      </w:pPr>
      <w:r>
        <w:t>NFR-SEC-04: API keys and service secrets shall be stored as environment variables / repository secrets and never committed to the repository.</w:t>
      </w:r>
    </w:p>
    <w:p>
      <w:pPr>
        <w:pStyle w:val="ListBullet"/>
      </w:pPr>
      <w:r>
        <w:t>NFR-SEC-05: Service keys used by the pipeline shall be rotated before production release.</w:t>
      </w:r>
    </w:p>
    <w:p>
      <w:pPr>
        <w:pStyle w:val="ListBullet"/>
      </w:pPr>
      <w:r>
        <w:t>NFR-SEC-06: Attachment uploads shall be validated against a type, size and count allowlist.</w:t>
      </w:r>
    </w:p>
    <w:p>
      <w:pPr>
        <w:pStyle w:val="Heading2"/>
      </w:pPr>
      <w:r>
        <w:t>5.4 Software Quality Attributes</w:t>
      </w:r>
    </w:p>
    <w:p>
      <w:pPr>
        <w:pStyle w:val="ListBullet"/>
      </w:pPr>
      <w:r>
        <w:t>Reliability: automated daily refresh with validation and fallback snapshots.</w:t>
      </w:r>
    </w:p>
    <w:p>
      <w:pPr>
        <w:pStyle w:val="ListBullet"/>
      </w:pPr>
      <w:r>
        <w:t>Usability: responsive layout, light/dark themes and bilingual (English / Bahasa Melayu) interface.</w:t>
      </w:r>
    </w:p>
    <w:p>
      <w:pPr>
        <w:pStyle w:val="ListBullet"/>
      </w:pPr>
      <w:r>
        <w:t>Maintainability: modular front-end (pages, components, services) and a modular Python pipeline; automated tests run under Vitest.</w:t>
      </w:r>
    </w:p>
    <w:p>
      <w:pPr>
        <w:pStyle w:val="ListBullet"/>
      </w:pPr>
      <w:r>
        <w:t>Portability: the front-end is a static SPA deployable to any static host; the pipeline runs on any Python 3.12 environment.</w:t>
      </w:r>
    </w:p>
    <w:p>
      <w:pPr>
        <w:pStyle w:val="ListBullet"/>
      </w:pPr>
      <w:r>
        <w:t>Transparency: every value is tagged with source, year and confidence.</w:t>
      </w:r>
    </w:p>
    <w:p>
      <w:pPr>
        <w:pStyle w:val="ListBullet"/>
      </w:pPr>
      <w:r>
        <w:t>Testability: a mock mode allows the application to run without backend configuration for testing.</w:t>
      </w:r>
    </w:p>
    <w:p>
      <w:pPr>
        <w:pStyle w:val="Heading2"/>
      </w:pPr>
      <w:r>
        <w:t>5.5 Business Rules</w:t>
      </w:r>
    </w:p>
    <w:p>
      <w:pPr>
        <w:pStyle w:val="ListBullet"/>
      </w:pPr>
      <w:r>
        <w:t>BR-01: The Resilience Index, not GDP, is the headline measure of a territory’s wealth.</w:t>
      </w:r>
    </w:p>
    <w:p>
      <w:pPr>
        <w:pStyle w:val="ListBullet"/>
      </w:pPr>
      <w:r>
        <w:t>BR-02: Resilience is governed by the weakest of the six pillars.</w:t>
      </w:r>
    </w:p>
    <w:p>
      <w:pPr>
        <w:pStyle w:val="ListBullet"/>
      </w:pPr>
      <w:r>
        <w:t>BR-03: A value should be shown at the most local, comparable administrative level available.</w:t>
      </w:r>
    </w:p>
    <w:p>
      <w:pPr>
        <w:pStyle w:val="ListBullet"/>
      </w:pPr>
      <w:r>
        <w:t>BR-04: News is published to the public only after administrative approval.</w:t>
      </w:r>
    </w:p>
    <w:p>
      <w:pPr>
        <w:pStyle w:val="ListBullet"/>
      </w:pPr>
      <w:r>
        <w:t>BR-05: Only free or open data sources and service tiers are used.</w:t>
      </w:r>
    </w:p>
    <w:p>
      <w:r>
        <w:br w:type="page"/>
      </w:r>
    </w:p>
    <w:p>
      <w:pPr>
        <w:pStyle w:val="Heading1"/>
      </w:pPr>
      <w:r>
        <w:t>6. Other Requirements</w:t>
      </w:r>
    </w:p>
    <w:p>
      <w:pPr>
        <w:pStyle w:val="Heading2"/>
      </w:pPr>
      <w:r>
        <w:t>6.1 Data Requirements</w:t>
      </w:r>
    </w:p>
    <w:p>
      <w:pPr>
        <w:pStyle w:val="ListBullet"/>
      </w:pPr>
      <w:r>
        <w:t>The standard indicator record shall include territory, indicator, year, value, unit, source and data_level, enriched with ESG pillar, SDG goal, hexagon pillar, confidence and canonical flag.</w:t>
      </w:r>
    </w:p>
    <w:p>
      <w:pPr>
        <w:pStyle w:val="ListBullet"/>
      </w:pPr>
      <w:r>
        <w:t>Historical observations shall be stored per (territory, indicator, year).</w:t>
      </w:r>
    </w:p>
    <w:p>
      <w:pPr>
        <w:pStyle w:val="ListBullet"/>
      </w:pPr>
      <w:r>
        <w:t>News records shall include title, body, topic, ESG pillar, SDG tags, territories, sources, status and review metadata.</w:t>
      </w:r>
    </w:p>
    <w:p>
      <w:pPr>
        <w:pStyle w:val="ListBullet"/>
      </w:pPr>
      <w:r>
        <w:t>User profiles shall include name, role and status, linked to the authentication record.</w:t>
      </w:r>
    </w:p>
    <w:p>
      <w:pPr>
        <w:pStyle w:val="Heading2"/>
      </w:pPr>
      <w:r>
        <w:t>6.2 Deployment and Production Requirements</w:t>
      </w:r>
    </w:p>
    <w:p>
      <w:pPr>
        <w:pStyle w:val="ListBullet"/>
      </w:pPr>
      <w:r>
        <w:t>The front-end shall be deployable as static files to the production shared-hosting environment.</w:t>
      </w:r>
    </w:p>
    <w:p>
      <w:pPr>
        <w:pStyle w:val="ListBullet"/>
      </w:pPr>
      <w:r>
        <w:t>Environment configuration (Supabase URL and keys, production site URL and redirect URLs) shall be set for the production environment.</w:t>
      </w:r>
    </w:p>
    <w:p>
      <w:pPr>
        <w:pStyle w:val="ListBullet"/>
      </w:pPr>
      <w:r>
        <w:t>Local-only behaviours (for example the mock authentication fallback) shall be disabled or correctly configured for production.</w:t>
      </w:r>
    </w:p>
    <w:p>
      <w:pPr>
        <w:pStyle w:val="ListBullet"/>
      </w:pPr>
      <w:r>
        <w:t>A custom mail service shall be configured for authentication e-mails once a domain is available.</w:t>
      </w:r>
    </w:p>
    <w:p>
      <w:pPr>
        <w:pStyle w:val="ListBullet"/>
      </w:pPr>
      <w:r>
        <w:t>All secrets shall be rotated prior to go-live.</w:t>
      </w:r>
    </w:p>
    <w:p>
      <w:pPr>
        <w:pStyle w:val="Heading2"/>
      </w:pPr>
      <w:r>
        <w:t>6.3 Future Enhancements</w:t>
      </w:r>
    </w:p>
    <w:p>
      <w:pPr>
        <w:pStyle w:val="ListBullet"/>
      </w:pPr>
      <w:r>
        <w:t>Completion of the AI Sustainability Assistant (Section 4.13).</w:t>
      </w:r>
    </w:p>
    <w:p>
      <w:pPr>
        <w:pStyle w:val="ListBullet"/>
      </w:pPr>
      <w:r>
        <w:t>Research and proof-of-concept for Blockchain integration (Section 4.14).</w:t>
      </w:r>
    </w:p>
    <w:p>
      <w:pPr>
        <w:pStyle w:val="ListBullet"/>
      </w:pPr>
      <w:r>
        <w:t>A server-side backend for the community feed.</w:t>
      </w:r>
    </w:p>
    <w:p>
      <w:pPr>
        <w:pStyle w:val="ListBullet"/>
      </w:pPr>
      <w:r>
        <w:t>Closing remaining data gaps (for example river water quality and certain Brunei indicators).</w:t>
      </w:r>
    </w:p>
    <w:p>
      <w:pPr>
        <w:pStyle w:val="ListBullet"/>
      </w:pPr>
      <w:r>
        <w:t>A native mobile application with alerts and citizen reporting.</w:t>
      </w:r>
    </w:p>
    <w:p>
      <w:r>
        <w:br w:type="page"/>
      </w:r>
    </w:p>
    <w:p>
      <w:pPr>
        <w:pStyle w:val="Heading1"/>
      </w:pPr>
      <w:r>
        <w:t>Appendix A: Glossary</w:t>
      </w:r>
    </w:p>
    <w:p>
      <w:r>
        <w:rPr>
          <w:b w:val="0"/>
          <w:i w:val="0"/>
        </w:rPr>
        <w:t>See Section 1.5 for definitions of the principal terms, acronyms and abbreviations used throughout this document.</w:t>
      </w:r>
    </w:p>
    <w:p>
      <w:pPr>
        <w:pStyle w:val="Heading1"/>
      </w:pPr>
      <w:r>
        <w:t>Appendix B: Analysis Model (Data Flow)</w:t>
      </w:r>
    </w:p>
    <w:p>
      <w:r>
        <w:rPr>
          <w:b w:val="0"/>
          <w:i w:val="0"/>
        </w:rPr>
        <w:t>The system’s primary data flow is summarised below:</w:t>
      </w:r>
    </w:p>
    <w:p>
      <w:r>
        <w:rPr>
          <w:b w:val="0"/>
          <w:i w:val="0"/>
        </w:rPr>
        <w:t>1. Scheduled collection: the Python ETL pipeline calls external open-data APIs on a daily schedule.</w:t>
      </w:r>
    </w:p>
    <w:p>
      <w:r>
        <w:rPr>
          <w:b w:val="0"/>
          <w:i w:val="0"/>
        </w:rPr>
        <w:t>2. Transformation: raw rows are normalised to the standard schema, enriched with ESG/SDG/pillar mappings and confidence, and reconciled across administrative levels.</w:t>
      </w:r>
    </w:p>
    <w:p>
      <w:r>
        <w:rPr>
          <w:b w:val="0"/>
          <w:i w:val="0"/>
        </w:rPr>
        <w:t>3. Storage: processed rows and historical observations are written to a validated SQLite database.</w:t>
      </w:r>
    </w:p>
    <w:p>
      <w:r>
        <w:rPr>
          <w:b w:val="0"/>
          <w:i w:val="0"/>
        </w:rPr>
        <w:t>4. Export: canonical rows and trends are exported as JSON/GeoJSON files.</w:t>
      </w:r>
    </w:p>
    <w:p>
      <w:r>
        <w:rPr>
          <w:b w:val="0"/>
          <w:i w:val="0"/>
        </w:rPr>
        <w:t>5. Presentation: the React front-end reads the exported files and renders the dashboard, charts, maps and reports.</w:t>
      </w:r>
    </w:p>
    <w:p>
      <w:r>
        <w:rPr>
          <w:b w:val="0"/>
          <w:i w:val="0"/>
        </w:rPr>
        <w:t>6. Live services: news drafts (via AI digest) and user accounts/authentication are stored in and read from the hosted Supabase database, subject to Row-Level Security and administrative approval.</w:t>
      </w:r>
    </w:p>
    <w:p>
      <w:pPr>
        <w:pStyle w:val="Heading1"/>
      </w:pPr>
      <w:r>
        <w:t>Appendix C: To Be Determined (TBD) List</w:t>
      </w:r>
    </w:p>
    <w:p>
      <w:pPr>
        <w:pStyle w:val="ListBullet"/>
      </w:pPr>
      <w:r>
        <w:t>TBD-01: Final production hosting configuration and domain.</w:t>
      </w:r>
    </w:p>
    <w:p>
      <w:pPr>
        <w:pStyle w:val="ListBullet"/>
      </w:pPr>
      <w:r>
        <w:t>TBD-02: Choice of blockchain platform and scope for the integrity proof-of-concept.</w:t>
      </w:r>
    </w:p>
    <w:p>
      <w:pPr>
        <w:pStyle w:val="ListBullet"/>
      </w:pPr>
      <w:r>
        <w:t>TBD-03: Scope and provider details of the AI Sustainability Assistant.</w:t>
      </w:r>
    </w:p>
    <w:p>
      <w:pPr>
        <w:pStyle w:val="ListBullet"/>
      </w:pPr>
      <w:r>
        <w:t>TBD-04: Confirmation of the supervisor (lecturer) name for the title page.</w:t>
      </w:r>
    </w:p>
    <w:p>
      <w:pPr>
        <w:pStyle w:val="ListBullet"/>
      </w:pPr>
      <w:r>
        <w:t>TBD-05: Resolution of remaining data gaps and their chosen alternative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