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color w:val="6B7280"/>
          <w:sz w:val="20"/>
        </w:rPr>
        <w:t>15/02/2026</w:t>
      </w:r>
    </w:p>
    <w:p/>
    <w:p>
      <w:r>
        <w:rPr>
          <w:b/>
          <w:sz w:val="24"/>
        </w:rPr>
        <w:t>EcoRecycle Abidjan</w:t>
      </w:r>
    </w:p>
    <w:p>
      <w:r>
        <w:t>Côte d'Ivoire</w:t>
      </w:r>
    </w:p>
    <w:p/>
    <w:p>
      <w:r>
        <w:t>À l'attention du comité de sélection</w:t>
      </w:r>
    </w:p>
    <w:p>
      <w:r>
        <w:t>Objet : Candidature au financement vert</w:t>
      </w:r>
    </w:p>
    <w:p/>
    <w:p>
      <w:pPr>
        <w:spacing w:after="160"/>
      </w:pPr>
      <w:r>
        <w:t>EcoRecycle Abidjan est une entreprise ivoirienne spécialisée dans le recyclage et la gestion durable des déchets, comptant 50 collaborateurs et opérant sur l'ensemble du territoire national. Certifiée ISO 14001, notre structure assure un taux de valorisation des déchets de 85 %, transformant les flux de déchets en ressources secondaires pour l'économie locale. Notre modèle d'affaires repose sur l'optimisation des cycles de matières et la réduction de l'extraction de ressources vierges, contribuant activement à la transition écologique en Côte d'Ivoire.</w:t>
      </w:r>
    </w:p>
    <w:p>
      <w:pPr>
        <w:spacing w:after="160"/>
      </w:pPr>
      <w:r>
        <w:t>Notre candidature s'inscrit dans une adéquation stratégique totale avec la mission du Green Climate Fund. Notre évaluation ESG selon les standards GCF révèle un score global de 60,4/100, décomposé en 66,5 pour l'environnement, 40,0 pour le social et 70,0 pour la gouvernance. Ces résultats témoignent de notre rigueur managériale et de notre capacité opérationnelle à déployer des solutions d'atténuation du changement climatique. Notre expertise en économie circulaire répond directement aux priorités d'investissement du Fonds en matière de réduction des émissions et de résilience environnementale.</w:t>
      </w:r>
    </w:p>
    <w:p>
      <w:pPr>
        <w:spacing w:after="160"/>
      </w:pPr>
      <w:r>
        <w:t>Nous nous engageons à renforcer nos performances ESG à travers des actions mesurables et traçables. Notre site utilise actuellement 30 % d'énergie solaire, avec un objectif de 50 % d'ici 2027, tandis que notre empreinte carbone se limite à 150 tCO2e annuels, soit une intensité carbone parm</w:t>
      </w:r>
    </w:p>
    <w:p/>
    <w:p>
      <w:r>
        <w:rPr>
          <w:sz w:val="20"/>
        </w:rPr>
        <w:t>Fait à ________________, le ________________</w:t>
      </w:r>
    </w:p>
    <w:p/>
    <w:p>
      <w:r>
        <w:rPr>
          <w:b/>
          <w:sz w:val="20"/>
        </w:rPr>
        <w:t>Pour EcoRecycle Abidjan</w:t>
      </w:r>
    </w:p>
    <w:p/>
    <w:p>
      <w:r>
        <w:rPr>
          <w:sz w:val="20"/>
        </w:rPr>
        <w:t>Nom et qualité du signataire : ________________________________</w:t>
      </w:r>
    </w:p>
    <w:p/>
    <w:p>
      <w:r>
        <w:rPr>
          <w:sz w:val="20"/>
        </w:rPr>
        <w:t xml:space="preserve">Signature : </w:t>
      </w:r>
    </w:p>
    <w:sectPr w:rsidR="00FC693F" w:rsidRPr="0006063C" w:rsidSect="00034616">
      <w:headerReference w:type="default" r:id="rId9"/>
      <w:footerReference w:type="default" r:id="rId10"/>
      <w:pgSz w:w="12240" w:h="15840"/>
      <w:pgMar w:top="1417" w:right="1134" w:bottom="141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7280"/>
        <w:sz w:val="14"/>
      </w:rPr>
      <w:t>Document confidentiel — Généré par ESG Advisor AI</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i/>
        <w:color w:val="6B7280"/>
        <w:sz w:val="16"/>
      </w:rPr>
      <w:t>EcoRecycle Abidjan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374151"/>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