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12" w:line="215" w:lineRule="auto"/>
      </w:pPr>
      <w:r>
        <w:rPr>
          <w:rFonts w:ascii="Calibri" w:hAnsi="Calibri" w:cs="Calibri"/>
          <w:b/>
          <w:bCs/>
          <w:color w:val="0F172A"/>
          <w:sz w:val="22"/>
          <w:szCs w:val="22"/>
        </w:rPr>
        <w:t xml:space="preserve">FINTECH 590 — PROJECT AUDIBLE: POSITION MEMO</w:t>
      </w:r>
    </w:p>
    <w:p>
      <w:pPr>
        <w:spacing w:before="0" w:after="6" w:line="205" w:lineRule="auto"/>
      </w:pPr>
      <w:r>
        <w:rPr>
          <w:rFonts w:ascii="Calibri" w:hAnsi="Calibri" w:cs="Calibri"/>
          <w:b/>
          <w:bCs/>
          <w:color w:val="B45309"/>
          <w:sz w:val="18"/>
          <w:szCs w:val="18"/>
        </w:rPr>
        <w:t xml:space="preserve">To: </w:t>
      </w:r>
      <w:r>
        <w:rPr>
          <w:rFonts w:ascii="Calibri" w:hAnsi="Calibri" w:cs="Calibri"/>
          <w:color w:val="334155"/>
          <w:sz w:val="18"/>
          <w:szCs w:val="18"/>
        </w:rPr>
        <w:t xml:space="preserve">American Fintech Council (AFC) leadership   |   </w:t>
      </w:r>
      <w:r>
        <w:rPr>
          <w:rFonts w:ascii="Calibri" w:hAnsi="Calibri" w:cs="Calibri"/>
          <w:b/>
          <w:bCs/>
          <w:color w:val="B45309"/>
          <w:sz w:val="18"/>
          <w:szCs w:val="18"/>
        </w:rPr>
        <w:t xml:space="preserve">From: </w:t>
      </w:r>
      <w:r>
        <w:rPr>
          <w:rFonts w:ascii="Calibri" w:hAnsi="Calibri" w:cs="Calibri"/>
          <w:color w:val="334155"/>
          <w:sz w:val="18"/>
          <w:szCs w:val="18"/>
        </w:rPr>
        <w:t xml:space="preserve">Angga Lesmana   |   </w:t>
      </w:r>
      <w:r>
        <w:rPr>
          <w:rFonts w:ascii="Calibri" w:hAnsi="Calibri" w:cs="Calibri"/>
          <w:b/>
          <w:bCs/>
          <w:color w:val="B45309"/>
          <w:sz w:val="18"/>
          <w:szCs w:val="18"/>
        </w:rPr>
        <w:t xml:space="preserve">Date: </w:t>
      </w:r>
      <w:r>
        <w:rPr>
          <w:rFonts w:ascii="Calibri" w:hAnsi="Calibri" w:cs="Calibri"/>
          <w:color w:val="334155"/>
          <w:sz w:val="18"/>
          <w:szCs w:val="18"/>
        </w:rPr>
        <w:t xml:space="preserve">October 26, 2026</w:t>
      </w:r>
    </w:p>
    <w:p>
      <w:pPr>
        <w:pBdr>
          <w:bottom w:val="single" w:sz="6" w:space="2" w:color="CBD5E1"/>
        </w:pBdr>
        <w:spacing w:before="0" w:after="40" w:line="205" w:lineRule="auto"/>
      </w:pPr>
      <w:r>
        <w:rPr>
          <w:rFonts w:ascii="Calibri" w:hAnsi="Calibri" w:cs="Calibri"/>
          <w:b/>
          <w:bCs/>
          <w:color w:val="B45309"/>
          <w:sz w:val="18"/>
          <w:szCs w:val="18"/>
        </w:rPr>
        <w:t xml:space="preserve">Decision: </w:t>
      </w:r>
      <w:r>
        <w:rPr>
          <w:rFonts w:ascii="Calibri" w:hAnsi="Calibri" w:cs="Calibri"/>
          <w:color w:val="334155"/>
          <w:sz w:val="18"/>
          <w:szCs w:val="18"/>
        </w:rPr>
        <w:t xml:space="preserve">Should AFC launch a mortgage-pricing review program for its members?</w:t>
      </w:r>
    </w:p>
    <w:p>
      <w:pPr>
        <w:pBdr>
          <w:bottom w:val="single" w:sz="6" w:space="2" w:color="CBD5E1"/>
        </w:pBdr>
        <w:spacing w:before="85" w:after="32" w:line="218" w:lineRule="auto"/>
      </w:pPr>
      <w:r>
        <w:rPr>
          <w:rFonts w:ascii="Calibri" w:hAnsi="Calibri" w:cs="Calibri"/>
          <w:b/>
          <w:bCs/>
          <w:color w:val="0F172A"/>
          <w:sz w:val="20"/>
          <w:szCs w:val="20"/>
        </w:rPr>
        <w:t xml:space="preserve">Recommendation: Yes — a member pricing review benchmarked against nonbank peers, starting with origination fees, first in loans ≤$200k and income ≤$75k</w:t>
      </w:r>
    </w:p>
    <w:p>
      <w:pPr>
        <w:spacing w:before="30" w:after="40" w:line="228" w:lineRule="auto"/>
      </w:pPr>
      <w:r>
        <w:rPr>
          <w:rFonts w:ascii="Calibri" w:hAnsi="Calibri" w:cs="Calibri"/>
          <w:color w:val="1E293B"/>
          <w:sz w:val="19"/>
          <w:szCs w:val="19"/>
        </w:rPr>
        <w:t xml:space="preserve">In 2025, fintech borrowers paid more than bank borrowers with comparable observed profiles. </w:t>
      </w:r>
      <w:r>
        <w:rPr>
          <w:rFonts w:ascii="Calibri" w:hAnsi="Calibri" w:cs="Calibri"/>
          <w:b/>
          <w:bCs/>
          <w:color w:val="1E293B"/>
          <w:sz w:val="19"/>
          <w:szCs w:val="19"/>
        </w:rPr>
        <w:t xml:space="preserve">The fintech median rate spread was +16.4 bps higher than at banks (0.213% vs. 0.049%), </w:t>
      </w:r>
      <w:r>
        <w:rPr>
          <w:rFonts w:ascii="Calibri" w:hAnsi="Calibri" w:cs="Calibri"/>
          <w:color w:val="1E293B"/>
          <w:sz w:val="19"/>
          <w:szCs w:val="19"/>
        </w:rPr>
        <w:t xml:space="preserve">in all 16 of 16 debt-to-income × loan-to-value groups and 20 of the 20 largest states. </w:t>
      </w:r>
      <w:r>
        <w:rPr>
          <w:rFonts w:ascii="Calibri" w:hAnsi="Calibri" w:cs="Calibri"/>
          <w:b/>
          <w:bCs/>
          <w:color w:val="1E293B"/>
          <w:sz w:val="19"/>
          <w:szCs w:val="19"/>
        </w:rPr>
        <w:t xml:space="preserve">Fintech lenders, however, price in line with other nonbank lenders (-1.2 bps), </w:t>
      </w:r>
      <w:r>
        <w:rPr>
          <w:rFonts w:ascii="Calibri" w:hAnsi="Calibri" w:cs="Calibri"/>
          <w:color w:val="1E293B"/>
          <w:sz w:val="19"/>
          <w:szCs w:val="19"/>
        </w:rPr>
        <w:t xml:space="preserve">so the premium points to the nonbank business model rather than a fintech-specific markup. AFC should run a voluntary review that benchmarks each member against nonbank peers as well as banks, starting with origination fees, first in loans ≤$200k and income ≤$75k, where members still charge more than nonbank peers (fees +6.4 bps). </w:t>
      </w:r>
      <w:r>
        <w:rPr>
          <w:rFonts w:ascii="Calibri" w:hAnsi="Calibri" w:cs="Calibri"/>
          <w:color w:val="1E293B"/>
          <w:sz w:val="19"/>
          <w:szCs w:val="19"/>
        </w:rPr>
        <w:t xml:space="preserve">The review is diagnostic: a price gap alone does not justify telling any member to change prices.</w:t>
      </w:r>
    </w:p>
    <w:p>
      <w:pPr>
        <w:pBdr>
          <w:bottom w:val="single" w:sz="6" w:space="2" w:color="CBD5E1"/>
        </w:pBdr>
        <w:spacing w:before="85" w:after="32" w:line="218" w:lineRule="auto"/>
      </w:pPr>
      <w:r>
        <w:rPr>
          <w:rFonts w:ascii="Calibri" w:hAnsi="Calibri" w:cs="Calibri"/>
          <w:b/>
          <w:bCs/>
          <w:color w:val="0F172A"/>
          <w:sz w:val="20"/>
          <w:szCs w:val="20"/>
        </w:rPr>
        <w:t xml:space="preserve">What the data shows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Versus banks, the premium is robust. </w:t>
      </w:r>
      <w:r>
        <w:rPr>
          <w:rFonts w:ascii="Calibri" w:hAnsi="Calibri" w:cs="Calibri"/>
          <w:color w:val="1E293B"/>
          <w:sz w:val="19"/>
          <w:szCs w:val="19"/>
        </w:rPr>
        <w:t xml:space="preserve">Sample: 2025 HMDA conventional conforming 30-year fixed purchase loans; 173,033 loans from 14 fintech lenders (NYU Stern list) vs. 338,166 from 655 banks, valid borrower data, DTI below 50% (lender-clustered 95% CI: +11.5 bps to +23.3 bps). 12 of 14 fintech lenders price above the bank median. Rocket Mortgage is 47% of fintech loans; without it the gap is +17.0 bps.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Versus other nonbanks, it largely disappears. </w:t>
      </w:r>
      <w:r>
        <w:rPr>
          <w:rFonts w:ascii="Calibri" w:hAnsi="Calibri" w:cs="Calibri"/>
          <w:color w:val="1E293B"/>
          <w:sz w:val="19"/>
          <w:szCs w:val="19"/>
        </w:rPr>
        <w:t xml:space="preserve">Compared with 600 non-fintech nonbank lenders (808,681 loans, same filters), the fintech rate-spread gap is -1.2 bps, the rate gap 0.0 bps and the fee gap +6.4 bps. Fees are the one gap that remains.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Versus banks, the gap is largest for borrowers with the least room to absorb it. </w:t>
      </w:r>
      <w:r>
        <w:rPr>
          <w:rFonts w:ascii="Calibri" w:hAnsi="Calibri" w:cs="Calibri"/>
          <w:color w:val="1E293B"/>
          <w:sz w:val="19"/>
          <w:szCs w:val="19"/>
        </w:rPr>
        <w:t xml:space="preserve">Borrowers with under 5% down face 2.6 times the gap of borrowers with 20% down; for incomes of $75k or less it comes through fees (+55.0 bps), not the note rate (+1.0 bps).</w:t>
      </w:r>
    </w:p>
    <w:tbl>
      <w:tblPr>
        <w:tblW w:w="10512"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000"/>
        <w:gridCol w:w="1900"/>
        <w:gridCol w:w="1900"/>
        <w:gridCol w:w="1900"/>
        <w:gridCol w:w="1812"/>
      </w:tblGrid>
      <w:tr>
        <w:tc>
          <w:tcPr>
            <w:tcW w:w="3000"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Borrower group</w:t>
            </w:r>
          </w:p>
        </w:tc>
        <w:tc>
          <w:tcPr>
            <w:tcW w:w="1900"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Loans (Fintech / Bank)</w:t>
            </w:r>
          </w:p>
        </w:tc>
        <w:tc>
          <w:tcPr>
            <w:tcW w:w="1900"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Rate-spread gap vs. banks</w:t>
            </w:r>
          </w:p>
        </w:tc>
        <w:tc>
          <w:tcPr>
            <w:tcW w:w="1900"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Rate-spread gap vs. nonbanks</w:t>
            </w:r>
          </w:p>
        </w:tc>
        <w:tc>
          <w:tcPr>
            <w:tcW w:w="1812"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Fee gap vs. nonbanks</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All comparable loans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173,033 / 338,166</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+16.4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-1.2 bps</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+6.4 bps</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Down payment 20%+ (CLTV ≤80%)</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82,828 / 172,431</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+11.7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-2.4 bps</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+2.7 bps</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Down payment &lt;5% (CLTV &gt;95%)</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23,780 / 52,292</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+29.9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+2.4 bps</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+9.0 bps</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Loan ≤$200k</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31,810 / 82,550</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+21.5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+4.2 bps</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+17.8 bps</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Income ≤$75k</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40,814 / 91,080</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+17.7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+1.4 bps</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+14.5 bps</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Income &gt;$200k</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34,400 / 62,234</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+17.9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-4.7 bps</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-6.9 bps</w:t>
            </w:r>
          </w:p>
        </w:tc>
      </w:tr>
    </w:tbl>
    <w:p>
      <w:pPr>
        <w:spacing w:before="20" w:after="20" w:line="200" w:lineRule="auto"/>
      </w:pPr>
      <w:r>
        <w:rPr>
          <w:rFonts w:ascii="Calibri" w:hAnsi="Calibri" w:cs="Calibri"/>
          <w:i/>
          <w:iCs/>
          <w:color w:val="475569"/>
          <w:sz w:val="16"/>
          <w:szCs w:val="16"/>
        </w:rPr>
        <w:t xml:space="preserve">Gap = Fintech median − comparator median. Rate spread = APR − APOR (benchmark rate on the lock date). Nonbanks = non-fintech independent mortgage banks (Philadelphia Fed TYPE 40/41). Source: FFIEC 2025 HMDA; dashboard Overview tab and technical memo.</w:t>
      </w:r>
    </w:p>
    <w:p>
      <w:pPr>
        <w:pBdr>
          <w:bottom w:val="single" w:sz="6" w:space="2" w:color="CBD5E1"/>
        </w:pBdr>
        <w:spacing w:before="85" w:after="32" w:line="218" w:lineRule="auto"/>
      </w:pPr>
      <w:r>
        <w:rPr>
          <w:rFonts w:ascii="Calibri" w:hAnsi="Calibri" w:cs="Calibri"/>
          <w:b/>
          <w:bCs/>
          <w:color w:val="0F172A"/>
          <w:sz w:val="20"/>
          <w:szCs w:val="20"/>
        </w:rPr>
        <w:t xml:space="preserve">Why it matters to AFC, and what to do</w:t>
      </w:r>
    </w:p>
    <w:p>
      <w:pPr>
        <w:spacing w:before="30" w:after="40" w:line="228" w:lineRule="auto"/>
      </w:pPr>
      <w:r>
        <w:rPr>
          <w:rFonts w:ascii="Calibri" w:hAnsi="Calibri" w:cs="Calibri"/>
          <w:b/>
          <w:bCs/>
          <w:color w:val="B45309"/>
          <w:sz w:val="19"/>
          <w:szCs w:val="19"/>
        </w:rPr>
        <w:t xml:space="preserve">So what: </w:t>
      </w:r>
      <w:r>
        <w:rPr>
          <w:rFonts w:ascii="Calibri" w:hAnsi="Calibri" w:cs="Calibri"/>
          <w:color w:val="1E293B"/>
          <w:sz w:val="19"/>
          <w:szCs w:val="19"/>
        </w:rPr>
        <w:t xml:space="preserve">anyone with public HMDA data, including regulators and the press, will compare fintech lenders with banks and see a premium that is largest for small down payments and small loans. Our data suggest the fair comparison is with other nonbanks, where members look similar, but only member data can show that. Running the review first lets AFC lead the answer instead of reacting to someone else’s.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1 (Q1 2027): </w:t>
      </w:r>
      <w:r>
        <w:rPr>
          <w:rFonts w:ascii="Calibri" w:hAnsi="Calibri" w:cs="Calibri"/>
          <w:color w:val="1E293B"/>
          <w:sz w:val="19"/>
          <w:szCs w:val="19"/>
        </w:rPr>
        <w:t xml:space="preserve">invite members to join; publish the HMDA benchmarks against banks and nonbank peers.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2: </w:t>
      </w:r>
      <w:r>
        <w:rPr>
          <w:rFonts w:ascii="Calibri" w:hAnsi="Calibri" w:cs="Calibri"/>
          <w:color w:val="1E293B"/>
          <w:sz w:val="19"/>
          <w:szCs w:val="19"/>
        </w:rPr>
        <w:t xml:space="preserve">each member explains its gap, starting with origination fees, first in loans ≤$200k and income ≤$75k, using credit score, LLPAs, rate-lock date, discount points and lender credits that public HMDA omits.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3: </w:t>
      </w:r>
      <w:r>
        <w:rPr>
          <w:rFonts w:ascii="Calibri" w:hAnsi="Calibri" w:cs="Calibri"/>
          <w:color w:val="1E293B"/>
          <w:sz w:val="19"/>
          <w:szCs w:val="19"/>
        </w:rPr>
        <w:t xml:space="preserve">AFC reports, in aggregate, how much of the gap credit risk and the nonbank model explain; members act only on the unexplained part. If little is left, AFC publishes that as evidence.</w:t>
      </w:r>
    </w:p>
    <w:p>
      <w:pPr>
        <w:pBdr>
          <w:bottom w:val="single" w:sz="6" w:space="2" w:color="CBD5E1"/>
        </w:pBdr>
        <w:spacing w:before="85" w:after="32" w:line="218" w:lineRule="auto"/>
      </w:pPr>
      <w:r>
        <w:rPr>
          <w:rFonts w:ascii="Calibri" w:hAnsi="Calibri" w:cs="Calibri"/>
          <w:b/>
          <w:bCs/>
          <w:color w:val="0F172A"/>
          <w:sz w:val="20"/>
          <w:szCs w:val="20"/>
        </w:rPr>
        <w:t xml:space="preserve">Strongest objection, biggest limitation, and why the position holds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Objection — "This is a nonbank pattern, so why review fintech members?" </w:t>
      </w:r>
      <w:r>
        <w:rPr>
          <w:rFonts w:ascii="Calibri" w:hAnsi="Calibri" w:cs="Calibri"/>
          <w:color w:val="1E293B"/>
          <w:sz w:val="19"/>
          <w:szCs w:val="19"/>
        </w:rPr>
        <w:t xml:space="preserve">On the rate spread we agree, which is why the benchmark is nonbank peers and the review is voluntary and diagnostic. Fees still sit +6.4 bps above nonbank peers, and borrowers will still compare members with banks.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Limitation — data and definitions. </w:t>
      </w:r>
      <w:r>
        <w:rPr>
          <w:rFonts w:ascii="Calibri" w:hAnsi="Calibri" w:cs="Calibri"/>
          <w:color w:val="1E293B"/>
          <w:sz w:val="19"/>
          <w:szCs w:val="19"/>
        </w:rPr>
        <w:t xml:space="preserve">Public HMDA has no credit scores or exact lock dates, and risk-based pricing is steepest at high loan-to-value. "Fintech" is the NYU Stern / Fuster et al. (2019) list of fully online lenders, last updated in 2017 (15 of 18 matched in 2025). Some unlisted nonbanks also originate online, which pulls the fintech-versus-nonbank gap toward zero.</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Why the recommendation still holds: </w:t>
      </w:r>
      <w:r>
        <w:rPr>
          <w:rFonts w:ascii="Calibri" w:hAnsi="Calibri" w:cs="Calibri"/>
          <w:color w:val="1E293B"/>
          <w:sz w:val="19"/>
          <w:szCs w:val="19"/>
        </w:rPr>
        <w:t xml:space="preserve">versus banks the gap stays between +15.9 bps and +17.2 bps across every sample definition we tested, and in 198 of 200 groups split four ways (DTI, CLTV, income, loan size). The recommendation follows the evidence: it benchmarks members against their real peers instead of assuming a fintech markup, it targets the gap that remains, and it is low-cost and voluntary. HMDA describes 2025 pricing, not current offers.</w:t>
      </w:r>
    </w:p>
    <w:sectPr>
      <w:pgSz w:w="12240" w:h="15840"/>
      <w:pgMar w:top="720" w:right="864" w:bottom="720" w:left="864" w:header="432" w:footer="43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0B04AF"/>
    <w:multiLevelType w:val="multilevel"/>
    <w:tmpl w:val="DDFA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4548EA"/>
    <w:multiLevelType w:val="multilevel"/>
    <w:tmpl w:val="F1E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883297"/>
    <w:multiLevelType w:val="multilevel"/>
    <w:tmpl w:val="F65E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922429">
    <w:abstractNumId w:val="1"/>
  </w:num>
  <w:num w:numId="2" w16cid:durableId="1271819744">
    <w:abstractNumId w:val="0"/>
  </w:num>
  <w:num w:numId="3" w16cid:durableId="50713841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357"/>
    <w:rsid w:val="000941D4"/>
    <w:rsid w:val="000F69AA"/>
    <w:rsid w:val="0013085B"/>
    <w:rsid w:val="001D6DBD"/>
    <w:rsid w:val="002370B6"/>
    <w:rsid w:val="002D0985"/>
    <w:rsid w:val="00433C5E"/>
    <w:rsid w:val="00925C30"/>
    <w:rsid w:val="00974308"/>
    <w:rsid w:val="009F043C"/>
    <w:rsid w:val="00D728A5"/>
    <w:rsid w:val="00D95B1D"/>
    <w:rsid w:val="00F30357"/>
    <w:rsid w:val="00FD6D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3B5F877B"/>
  <w15:chartTrackingRefBased/>
  <w15:docId w15:val="{4E5B8505-46CC-804F-8044-E5736BAD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0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0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0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30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0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0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30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357"/>
    <w:rPr>
      <w:rFonts w:eastAsiaTheme="majorEastAsia" w:cstheme="majorBidi"/>
      <w:color w:val="272727" w:themeColor="text1" w:themeTint="D8"/>
    </w:rPr>
  </w:style>
  <w:style w:type="paragraph" w:styleId="Title">
    <w:name w:val="Title"/>
    <w:basedOn w:val="Normal"/>
    <w:next w:val="Normal"/>
    <w:link w:val="TitleChar"/>
    <w:uiPriority w:val="10"/>
    <w:qFormat/>
    <w:rsid w:val="00F30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357"/>
    <w:pPr>
      <w:spacing w:before="160"/>
      <w:jc w:val="center"/>
    </w:pPr>
    <w:rPr>
      <w:i/>
      <w:iCs/>
      <w:color w:val="404040" w:themeColor="text1" w:themeTint="BF"/>
    </w:rPr>
  </w:style>
  <w:style w:type="character" w:customStyle="1" w:styleId="QuoteChar">
    <w:name w:val="Quote Char"/>
    <w:basedOn w:val="DefaultParagraphFont"/>
    <w:link w:val="Quote"/>
    <w:uiPriority w:val="29"/>
    <w:rsid w:val="00F30357"/>
    <w:rPr>
      <w:i/>
      <w:iCs/>
      <w:color w:val="404040" w:themeColor="text1" w:themeTint="BF"/>
    </w:rPr>
  </w:style>
  <w:style w:type="paragraph" w:styleId="ListParagraph">
    <w:name w:val="List Paragraph"/>
    <w:basedOn w:val="Normal"/>
    <w:uiPriority w:val="34"/>
    <w:qFormat/>
    <w:rsid w:val="00F30357"/>
    <w:pPr>
      <w:ind w:left="720"/>
      <w:contextualSpacing/>
    </w:pPr>
  </w:style>
  <w:style w:type="character" w:styleId="IntenseEmphasis">
    <w:name w:val="Intense Emphasis"/>
    <w:basedOn w:val="DefaultParagraphFont"/>
    <w:uiPriority w:val="21"/>
    <w:qFormat/>
    <w:rsid w:val="00F30357"/>
    <w:rPr>
      <w:i/>
      <w:iCs/>
      <w:color w:val="0F4761" w:themeColor="accent1" w:themeShade="BF"/>
    </w:rPr>
  </w:style>
  <w:style w:type="paragraph" w:styleId="IntenseQuote">
    <w:name w:val="Intense Quote"/>
    <w:basedOn w:val="Normal"/>
    <w:next w:val="Normal"/>
    <w:link w:val="IntenseQuoteChar"/>
    <w:uiPriority w:val="30"/>
    <w:qFormat/>
    <w:rsid w:val="00F30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357"/>
    <w:rPr>
      <w:i/>
      <w:iCs/>
      <w:color w:val="0F4761" w:themeColor="accent1" w:themeShade="BF"/>
    </w:rPr>
  </w:style>
  <w:style w:type="character" w:styleId="IntenseReference">
    <w:name w:val="Intense Reference"/>
    <w:basedOn w:val="DefaultParagraphFont"/>
    <w:uiPriority w:val="32"/>
    <w:qFormat/>
    <w:rsid w:val="00F30357"/>
    <w:rPr>
      <w:b/>
      <w:bCs/>
      <w:smallCaps/>
      <w:color w:val="0F4761" w:themeColor="accent1" w:themeShade="BF"/>
      <w:spacing w:val="5"/>
    </w:rPr>
  </w:style>
  <w:style w:type="paragraph" w:styleId="NormalWeb">
    <w:name w:val="Normal (Web)"/>
    <w:basedOn w:val="Normal"/>
    <w:uiPriority w:val="99"/>
    <w:semiHidden/>
    <w:unhideWhenUsed/>
    <w:rsid w:val="00F303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30357"/>
    <w:rPr>
      <w:b/>
      <w:bCs/>
    </w:rPr>
  </w:style>
  <w:style w:type="character" w:styleId="HTMLCode">
    <w:name w:val="HTML Code"/>
    <w:basedOn w:val="DefaultParagraphFont"/>
    <w:uiPriority w:val="99"/>
    <w:semiHidden/>
    <w:unhideWhenUsed/>
    <w:rsid w:val="001D6DB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753</Words>
  <Characters>4294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Angga Lesmana</dc:creator>
  <cp:keywords/>
  <dc:description/>
  <cp:lastModifiedBy>Angga Lesmana</cp:lastModifiedBy>
  <cp:revision>5</cp:revision>
  <dcterms:created xsi:type="dcterms:W3CDTF">2026-10-02T16:53:00Z</dcterms:created>
  <dcterms:modified xsi:type="dcterms:W3CDTF">2026-10-22T17:14:00Z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44290776-7843-4B97-A1CD-4253E7C1ED50</vt:lpwstr>
  </property>
</Properties>
</file>