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spacing w:before="0" w:after="14" w:line="220" w:lineRule="auto"/>
      </w:pPr>
      <w:r>
        <w:rPr>
          <w:rFonts w:ascii="Calibri" w:hAnsi="Calibri" w:cs="Calibri"/>
          <w:b/>
          <w:bCs/>
          <w:color w:val="0F172A"/>
          <w:sz w:val="22"/>
          <w:szCs w:val="22"/>
        </w:rPr>
        <w:t xml:space="preserve">FINTECH 590 — PROJECT AUDIBLE: LLM VALIDATION LOG</w:t>
      </w:r>
    </w:p>
    <w:p>
      <w:pPr>
        <w:pBdr>
          <w:bottom w:val="single" w:sz="6" w:space="2" w:color="CBD5E1"/>
        </w:pBdr>
        <w:spacing w:before="0" w:after="40" w:line="210" w:lineRule="auto"/>
      </w:pPr>
      <w:r>
        <w:rPr>
          <w:rFonts w:ascii="Calibri" w:hAnsi="Calibri" w:cs="Calibri"/>
          <w:b/>
          <w:bCs/>
          <w:color w:val="B45309"/>
          <w:sz w:val="18"/>
          <w:szCs w:val="18"/>
        </w:rPr>
        <w:t xml:space="preserve">Human Owners: </w:t>
      </w:r>
      <w:r>
        <w:rPr>
          <w:rFonts w:ascii="Calibri" w:hAnsi="Calibri" w:cs="Calibri"/>
          <w:color w:val="334155"/>
          <w:sz w:val="18"/>
          <w:szCs w:val="18"/>
        </w:rPr>
        <w:t xml:space="preserve">Angga Lesmana &amp; Violla Tania   |   </w:t>
      </w:r>
      <w:r>
        <w:rPr>
          <w:rFonts w:ascii="Calibri" w:hAnsi="Calibri" w:cs="Calibri"/>
          <w:b/>
          <w:bCs/>
          <w:color w:val="B45309"/>
          <w:sz w:val="18"/>
          <w:szCs w:val="18"/>
        </w:rPr>
        <w:t xml:space="preserve">Topic: </w:t>
      </w:r>
      <w:r>
        <w:rPr>
          <w:rFonts w:ascii="Calibri" w:hAnsi="Calibri" w:cs="Calibri"/>
          <w:color w:val="334155"/>
          <w:sz w:val="18"/>
          <w:szCs w:val="18"/>
        </w:rPr>
        <w:t xml:space="preserve">Fintech vs. Bank Mortgage Pricing (AFC)   |   </w:t>
      </w:r>
      <w:r>
        <w:rPr>
          <w:rFonts w:ascii="Calibri" w:hAnsi="Calibri" w:cs="Calibri"/>
          <w:b/>
          <w:bCs/>
          <w:color w:val="B45309"/>
          <w:sz w:val="18"/>
          <w:szCs w:val="18"/>
        </w:rPr>
        <w:t xml:space="preserve">Date: </w:t>
      </w:r>
      <w:r>
        <w:rPr>
          <w:rFonts w:ascii="Calibri" w:hAnsi="Calibri" w:cs="Calibri"/>
          <w:color w:val="334155"/>
          <w:sz w:val="18"/>
          <w:szCs w:val="18"/>
        </w:rPr>
        <w:t xml:space="preserve">October 22–26, 2026</w:t>
      </w:r>
    </w:p>
    <w:p>
      <w:pPr>
        <w:pBdr>
          <w:bottom w:val="single" w:sz="6" w:space="2" w:color="CBD5E1"/>
        </w:pBdr>
        <w:spacing w:before="90" w:after="36" w:line="220" w:lineRule="auto"/>
      </w:pPr>
      <w:r>
        <w:rPr>
          <w:rFonts w:ascii="Calibri" w:hAnsi="Calibri" w:cs="Calibri"/>
          <w:b/>
          <w:bCs/>
          <w:color w:val="0F172A"/>
          <w:sz w:val="20"/>
          <w:szCs w:val="20"/>
        </w:rPr>
        <w:t xml:space="preserve">1. LLM Inventory, Prompts, and Recorded Outputs</w:t>
      </w:r>
    </w:p>
    <w:tbl>
      <w:tblPr>
        <w:tblW w:w="105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1550"/>
        <w:gridCol w:w="1750"/>
        <w:gridCol w:w="3950"/>
        <w:gridCol w:w="3250"/>
      </w:tblGrid>
      <w:tr>
        <w:tc>
          <w:tcPr>
            <w:tcW w:w="1550" w:type="dxa"/>
            <w:shd w:val="clear" w:color="auto" w:fill="F1F5F9"/>
            <w:tcMar>
              <w:top w:w="36" w:type="dxa"/>
              <w:bottom w:w="36" w:type="dxa"/>
              <w:left w:w="70" w:type="dxa"/>
              <w:right w:w="70" w:type="dxa"/>
            </w:tcMar>
          </w:tcPr>
          <w:p>
            <w:pPr>
              <w:spacing w:before="10" w:after="10" w:line="200" w:lineRule="auto"/>
            </w:pPr>
            <w:r>
              <w:rPr>
                <w:rFonts w:ascii="Calibri" w:hAnsi="Calibri" w:cs="Calibri"/>
                <w:b/>
                <w:bCs/>
                <w:color w:val="0F172A"/>
                <w:sz w:val="17"/>
                <w:szCs w:val="17"/>
              </w:rPr>
              <w:t xml:space="preserve">Stage &amp; Date</w:t>
            </w:r>
          </w:p>
        </w:tc>
        <w:tc>
          <w:tcPr>
            <w:tcW w:w="1750" w:type="dxa"/>
            <w:shd w:val="clear" w:color="auto" w:fill="F1F5F9"/>
            <w:tcMar>
              <w:top w:w="36" w:type="dxa"/>
              <w:bottom w:w="36" w:type="dxa"/>
              <w:left w:w="70" w:type="dxa"/>
              <w:right w:w="70" w:type="dxa"/>
            </w:tcMar>
          </w:tcPr>
          <w:p>
            <w:pPr>
              <w:spacing w:before="10" w:after="10" w:line="200" w:lineRule="auto"/>
            </w:pPr>
            <w:r>
              <w:rPr>
                <w:rFonts w:ascii="Calibri" w:hAnsi="Calibri" w:cs="Calibri"/>
                <w:b/>
                <w:bCs/>
                <w:color w:val="0F172A"/>
                <w:sz w:val="17"/>
                <w:szCs w:val="17"/>
              </w:rPr>
              <w:t xml:space="preserve">Tool &amp; Model</w:t>
            </w:r>
          </w:p>
        </w:tc>
        <w:tc>
          <w:tcPr>
            <w:tcW w:w="3950" w:type="dxa"/>
            <w:shd w:val="clear" w:color="auto" w:fill="F1F5F9"/>
            <w:tcMar>
              <w:top w:w="36" w:type="dxa"/>
              <w:bottom w:w="36" w:type="dxa"/>
              <w:left w:w="70" w:type="dxa"/>
              <w:right w:w="70" w:type="dxa"/>
            </w:tcMar>
          </w:tcPr>
          <w:p>
            <w:pPr>
              <w:spacing w:before="10" w:after="10" w:line="200" w:lineRule="auto"/>
            </w:pPr>
            <w:r>
              <w:rPr>
                <w:rFonts w:ascii="Calibri" w:hAnsi="Calibri" w:cs="Calibri"/>
                <w:b/>
                <w:bCs/>
                <w:color w:val="0F172A"/>
                <w:sz w:val="17"/>
                <w:szCs w:val="17"/>
              </w:rPr>
              <w:t xml:space="preserve">Key Human Prompts (Translated / Verbatim)</w:t>
            </w:r>
          </w:p>
        </w:tc>
        <w:tc>
          <w:tcPr>
            <w:tcW w:w="3250" w:type="dxa"/>
            <w:shd w:val="clear" w:color="auto" w:fill="F1F5F9"/>
            <w:tcMar>
              <w:top w:w="36" w:type="dxa"/>
              <w:bottom w:w="36" w:type="dxa"/>
              <w:left w:w="70" w:type="dxa"/>
              <w:right w:w="70" w:type="dxa"/>
            </w:tcMar>
          </w:tcPr>
          <w:p>
            <w:pPr>
              <w:spacing w:before="10" w:after="10" w:line="200" w:lineRule="auto"/>
            </w:pPr>
            <w:r>
              <w:rPr>
                <w:rFonts w:ascii="Calibri" w:hAnsi="Calibri" w:cs="Calibri"/>
                <w:b/>
                <w:bCs/>
                <w:color w:val="0F172A"/>
                <w:sz w:val="17"/>
                <w:szCs w:val="17"/>
              </w:rPr>
              <w:t xml:space="preserve">Outputs Used &amp; Artifacts</w:t>
            </w:r>
          </w:p>
        </w:tc>
      </w:tr>
      <w:tr>
        <w:tc>
          <w:tcPr>
            <w:tcW w:w="1550" w:type="dxa"/>
            <w:tcMar>
              <w:top w:w="36" w:type="dxa"/>
              <w:bottom w:w="36" w:type="dxa"/>
              <w:left w:w="70" w:type="dxa"/>
              <w:right w:w="70" w:type="dxa"/>
            </w:tcMar>
          </w:tcPr>
          <w:p>
            <w:pPr>
              <w:spacing w:before="10" w:after="10" w:line="200" w:lineRule="auto"/>
            </w:pPr>
            <w:r>
              <w:rPr>
                <w:rFonts w:ascii="Calibri" w:hAnsi="Calibri" w:cs="Calibri"/>
                <w:b/>
                <w:bCs/>
                <w:color w:val="0F172A"/>
                <w:sz w:val="17"/>
                <w:szCs w:val="17"/>
              </w:rPr>
              <w:t xml:space="preserve">1. Pitch Framing
(Oct 22, 2026)</w:t>
            </w:r>
          </w:p>
        </w:tc>
        <w:tc>
          <w:tcPr>
            <w:tcW w:w="1750" w:type="dxa"/>
            <w:tcMar>
              <w:top w:w="36" w:type="dxa"/>
              <w:bottom w:w="36" w:type="dxa"/>
              <w:left w:w="70" w:type="dxa"/>
              <w:right w:w="70" w:type="dxa"/>
            </w:tcMar>
          </w:tcPr>
          <w:p>
            <w:pPr>
              <w:spacing w:before="10" w:after="10" w:line="200" w:lineRule="auto"/>
            </w:pPr>
            <w:r>
              <w:rPr>
                <w:rFonts w:ascii="Calibri" w:hAnsi="Calibri" w:cs="Calibri"/>
                <w:color w:val="1E293B"/>
                <w:sz w:val="17"/>
                <w:szCs w:val="17"/>
              </w:rPr>
              <w:t xml:space="preserve">OpenAI Codex
(v26.1017)</w:t>
            </w:r>
          </w:p>
        </w:tc>
        <w:tc>
          <w:tcPr>
            <w:tcW w:w="3950" w:type="dxa"/>
            <w:tcMar>
              <w:top w:w="36" w:type="dxa"/>
              <w:bottom w:w="36" w:type="dxa"/>
              <w:left w:w="70" w:type="dxa"/>
              <w:right w:w="70" w:type="dxa"/>
            </w:tcMar>
          </w:tcPr>
          <w:p>
            <w:pPr>
              <w:spacing w:before="10" w:after="10" w:line="200" w:lineRule="auto"/>
            </w:pPr>
            <w:r>
              <w:rPr>
                <w:rFonts w:ascii="Calibri" w:hAnsi="Calibri" w:cs="Calibri"/>
                <w:color w:val="1E293B"/>
                <w:sz w:val="17"/>
                <w:szCs w:val="17"/>
              </w:rPr>
              <w:t xml:space="preserve">"My professor asked: Who is the audience, and what is the decision?" -&gt; "What if the audience is the American Fintech Council (AFC)? Give me a straightforward operational decision."</w:t>
            </w:r>
          </w:p>
        </w:tc>
        <w:tc>
          <w:tcPr>
            <w:tcW w:w="3250" w:type="dxa"/>
            <w:tcMar>
              <w:top w:w="36" w:type="dxa"/>
              <w:bottom w:w="36" w:type="dxa"/>
              <w:left w:w="70" w:type="dxa"/>
              <w:right w:w="70" w:type="dxa"/>
            </w:tcMar>
          </w:tcPr>
          <w:p>
            <w:pPr>
              <w:spacing w:before="10" w:after="10" w:line="200" w:lineRule="auto"/>
            </w:pPr>
            <w:r>
              <w:rPr>
                <w:rFonts w:ascii="Calibri" w:hAnsi="Calibri" w:cs="Calibri"/>
                <w:color w:val="1E293B"/>
                <w:sz w:val="17"/>
                <w:szCs w:val="17"/>
              </w:rPr>
              <w:t xml:space="preserve">Project Audible Initial Pitch AFC.docx (framed around AFC leadership deciding on a member pricing review).</w:t>
            </w:r>
          </w:p>
        </w:tc>
      </w:tr>
      <w:tr>
        <w:tc>
          <w:tcPr>
            <w:tcW w:w="1550" w:type="dxa"/>
            <w:tcMar>
              <w:top w:w="36" w:type="dxa"/>
              <w:bottom w:w="36" w:type="dxa"/>
              <w:left w:w="70" w:type="dxa"/>
              <w:right w:w="70" w:type="dxa"/>
            </w:tcMar>
          </w:tcPr>
          <w:p>
            <w:pPr>
              <w:spacing w:before="10" w:after="10" w:line="200" w:lineRule="auto"/>
            </w:pPr>
            <w:r>
              <w:rPr>
                <w:rFonts w:ascii="Calibri" w:hAnsi="Calibri" w:cs="Calibri"/>
                <w:b/>
                <w:bCs/>
                <w:color w:val="0F172A"/>
                <w:sz w:val="17"/>
                <w:szCs w:val="17"/>
              </w:rPr>
              <w:t xml:space="preserve">2. HMDA Extraction
(Oct 22, 2026)</w:t>
            </w:r>
          </w:p>
        </w:tc>
        <w:tc>
          <w:tcPr>
            <w:tcW w:w="1750" w:type="dxa"/>
            <w:tcMar>
              <w:top w:w="36" w:type="dxa"/>
              <w:bottom w:w="36" w:type="dxa"/>
              <w:left w:w="70" w:type="dxa"/>
              <w:right w:w="70" w:type="dxa"/>
            </w:tcMar>
          </w:tcPr>
          <w:p>
            <w:pPr>
              <w:spacing w:before="10" w:after="10" w:line="200" w:lineRule="auto"/>
            </w:pPr>
            <w:r>
              <w:rPr>
                <w:rFonts w:ascii="Calibri" w:hAnsi="Calibri" w:cs="Calibri"/>
                <w:color w:val="1E293B"/>
                <w:sz w:val="17"/>
                <w:szCs w:val="17"/>
              </w:rPr>
              <w:t xml:space="preserve">OpenAI Codex
(v26.1017)</w:t>
            </w:r>
          </w:p>
        </w:tc>
        <w:tc>
          <w:tcPr>
            <w:tcW w:w="3950" w:type="dxa"/>
            <w:tcMar>
              <w:top w:w="36" w:type="dxa"/>
              <w:bottom w:w="36" w:type="dxa"/>
              <w:left w:w="70" w:type="dxa"/>
              <w:right w:w="70" w:type="dxa"/>
            </w:tcMar>
          </w:tcPr>
          <w:p>
            <w:pPr>
              <w:spacing w:before="10" w:after="10" w:line="200" w:lineRule="auto"/>
            </w:pPr>
            <w:r>
              <w:rPr>
                <w:rFonts w:ascii="Calibri" w:hAnsi="Calibri" w:cs="Calibri"/>
                <w:color w:val="1E293B"/>
                <w:sz w:val="17"/>
                <w:szCs w:val="17"/>
              </w:rPr>
              <w:t xml:space="preserve">"Write Python code to download and filter the 2025 HMDA data." -&gt; "Explain each function and check which pricing fields are missing."</w:t>
            </w:r>
          </w:p>
        </w:tc>
        <w:tc>
          <w:tcPr>
            <w:tcW w:w="3250" w:type="dxa"/>
            <w:tcMar>
              <w:top w:w="36" w:type="dxa"/>
              <w:bottom w:w="36" w:type="dxa"/>
              <w:left w:w="70" w:type="dxa"/>
              <w:right w:w="70" w:type="dxa"/>
            </w:tcMar>
          </w:tcPr>
          <w:p>
            <w:pPr>
              <w:spacing w:before="10" w:after="10" w:line="200" w:lineRule="auto"/>
            </w:pPr>
            <w:r>
              <w:rPr>
                <w:rFonts w:ascii="Calibri" w:hAnsi="Calibri" w:cs="Calibri"/>
                <w:color w:val="1E293B"/>
                <w:sz w:val="17"/>
                <w:szCs w:val="17"/>
              </w:rPr>
              <w:t xml:space="preserve">download_hmda.py, test_download_hmda.py, mortgages_2025.csv (1,508,076 loans), manifest.json.</w:t>
            </w:r>
          </w:p>
        </w:tc>
      </w:tr>
      <w:tr>
        <w:tc>
          <w:tcPr>
            <w:tcW w:w="1550" w:type="dxa"/>
            <w:tcMar>
              <w:top w:w="36" w:type="dxa"/>
              <w:bottom w:w="36" w:type="dxa"/>
              <w:left w:w="70" w:type="dxa"/>
              <w:right w:w="70" w:type="dxa"/>
            </w:tcMar>
          </w:tcPr>
          <w:p>
            <w:pPr>
              <w:spacing w:before="10" w:after="10" w:line="200" w:lineRule="auto"/>
            </w:pPr>
            <w:r>
              <w:rPr>
                <w:rFonts w:ascii="Calibri" w:hAnsi="Calibri" w:cs="Calibri"/>
                <w:b/>
                <w:bCs/>
                <w:color w:val="0F172A"/>
                <w:sz w:val="17"/>
                <w:szCs w:val="17"/>
              </w:rPr>
              <w:t xml:space="preserve">3. Lender Matching
(Oct 22, 2026)</w:t>
            </w:r>
          </w:p>
        </w:tc>
        <w:tc>
          <w:tcPr>
            <w:tcW w:w="1750" w:type="dxa"/>
            <w:tcMar>
              <w:top w:w="36" w:type="dxa"/>
              <w:bottom w:w="36" w:type="dxa"/>
              <w:left w:w="70" w:type="dxa"/>
              <w:right w:w="70" w:type="dxa"/>
            </w:tcMar>
          </w:tcPr>
          <w:p>
            <w:pPr>
              <w:spacing w:before="10" w:after="10" w:line="200" w:lineRule="auto"/>
            </w:pPr>
            <w:r>
              <w:rPr>
                <w:rFonts w:ascii="Calibri" w:hAnsi="Calibri" w:cs="Calibri"/>
                <w:color w:val="1E293B"/>
                <w:sz w:val="17"/>
                <w:szCs w:val="17"/>
              </w:rPr>
              <w:t xml:space="preserve">OpenAI Codex
(v26.1017)</w:t>
            </w:r>
          </w:p>
        </w:tc>
        <w:tc>
          <w:tcPr>
            <w:tcW w:w="3950" w:type="dxa"/>
            <w:tcMar>
              <w:top w:w="36" w:type="dxa"/>
              <w:bottom w:w="36" w:type="dxa"/>
              <w:left w:w="70" w:type="dxa"/>
              <w:right w:w="70" w:type="dxa"/>
            </w:tcMar>
          </w:tcPr>
          <w:p>
            <w:pPr>
              <w:spacing w:before="10" w:after="10" w:line="200" w:lineRule="auto"/>
            </w:pPr>
            <w:r>
              <w:rPr>
                <w:rFonts w:ascii="Calibri" w:hAnsi="Calibri" w:cs="Calibri"/>
                <w:color w:val="1E293B"/>
                <w:sz w:val="17"/>
                <w:szCs w:val="17"/>
              </w:rPr>
              <w:t xml:space="preserve">"Compare published Fintech lender lists (NYU Stern vs. Buchak et al.) on our 2025 HMDA sample so I can decide." -&gt; "Proceed with the NYU Stern list."</w:t>
            </w:r>
          </w:p>
        </w:tc>
        <w:tc>
          <w:tcPr>
            <w:tcW w:w="3250" w:type="dxa"/>
            <w:tcMar>
              <w:top w:w="36" w:type="dxa"/>
              <w:bottom w:w="36" w:type="dxa"/>
              <w:left w:w="70" w:type="dxa"/>
              <w:right w:w="70" w:type="dxa"/>
            </w:tcMar>
          </w:tcPr>
          <w:p>
            <w:pPr>
              <w:spacing w:before="10" w:after="10" w:line="200" w:lineRule="auto"/>
            </w:pPr>
            <w:r>
              <w:rPr>
                <w:rFonts w:ascii="Calibri" w:hAnsi="Calibri" w:cs="Calibri"/>
                <w:color w:val="1E293B"/>
                <w:sz w:val="17"/>
                <w:szCs w:val="17"/>
              </w:rPr>
              <w:t xml:space="preserve">classify_lenders_nyu.py, mortgages_2025_classified.csv (15 NYU Fintechs vs. 662 TYPE 10/14/20 banks).</w:t>
            </w:r>
          </w:p>
        </w:tc>
      </w:tr>
      <w:tr>
        <w:tc>
          <w:tcPr>
            <w:tcW w:w="1550" w:type="dxa"/>
            <w:tcMar>
              <w:top w:w="36" w:type="dxa"/>
              <w:bottom w:w="36" w:type="dxa"/>
              <w:left w:w="70" w:type="dxa"/>
              <w:right w:w="70" w:type="dxa"/>
            </w:tcMar>
          </w:tcPr>
          <w:p>
            <w:pPr>
              <w:spacing w:before="10" w:after="10" w:line="200" w:lineRule="auto"/>
            </w:pPr>
            <w:r>
              <w:rPr>
                <w:rFonts w:ascii="Calibri" w:hAnsi="Calibri" w:cs="Calibri"/>
                <w:b/>
                <w:bCs/>
                <w:color w:val="0F172A"/>
                <w:sz w:val="17"/>
                <w:szCs w:val="17"/>
              </w:rPr>
              <w:t xml:space="preserve">4. Data Cleansing
(Oct 22, 2026)</w:t>
            </w:r>
          </w:p>
        </w:tc>
        <w:tc>
          <w:tcPr>
            <w:tcW w:w="1750" w:type="dxa"/>
            <w:tcMar>
              <w:top w:w="36" w:type="dxa"/>
              <w:bottom w:w="36" w:type="dxa"/>
              <w:left w:w="70" w:type="dxa"/>
              <w:right w:w="70" w:type="dxa"/>
            </w:tcMar>
          </w:tcPr>
          <w:p>
            <w:pPr>
              <w:spacing w:before="10" w:after="10" w:line="200" w:lineRule="auto"/>
            </w:pPr>
            <w:r>
              <w:rPr>
                <w:rFonts w:ascii="Calibri" w:hAnsi="Calibri" w:cs="Calibri"/>
                <w:color w:val="1E293B"/>
                <w:sz w:val="17"/>
                <w:szCs w:val="17"/>
              </w:rPr>
              <w:t xml:space="preserve">Google Antigravity
(Claude Opus 4.5 &amp; Gemini 3.1 Pro)</w:t>
            </w:r>
          </w:p>
        </w:tc>
        <w:tc>
          <w:tcPr>
            <w:tcW w:w="3950" w:type="dxa"/>
            <w:tcMar>
              <w:top w:w="36" w:type="dxa"/>
              <w:bottom w:w="36" w:type="dxa"/>
              <w:left w:w="70" w:type="dxa"/>
              <w:right w:w="70" w:type="dxa"/>
            </w:tcMar>
          </w:tcPr>
          <w:p>
            <w:pPr>
              <w:spacing w:before="10" w:after="10" w:line="200" w:lineRule="auto"/>
            </w:pPr>
            <w:r>
              <w:rPr>
                <w:rFonts w:ascii="Calibri" w:hAnsi="Calibri" w:cs="Calibri"/>
                <w:color w:val="1E293B"/>
                <w:sz w:val="17"/>
                <w:szCs w:val="17"/>
              </w:rPr>
              <w:t xml:space="preserve">"Review the project folder and prior session history." -&gt; "Why normalize origination_charges by loan_amount?" -&gt; "Create a lossless cleaned copy and audit tables."</w:t>
            </w:r>
          </w:p>
        </w:tc>
        <w:tc>
          <w:tcPr>
            <w:tcW w:w="3250" w:type="dxa"/>
            <w:tcMar>
              <w:top w:w="36" w:type="dxa"/>
              <w:bottom w:w="36" w:type="dxa"/>
              <w:left w:w="70" w:type="dxa"/>
              <w:right w:w="70" w:type="dxa"/>
            </w:tcMar>
          </w:tcPr>
          <w:p>
            <w:pPr>
              <w:spacing w:before="10" w:after="10" w:line="200" w:lineRule="auto"/>
            </w:pPr>
            <w:r>
              <w:rPr>
                <w:rFonts w:ascii="Calibri" w:hAnsi="Calibri" w:cs="Calibri"/>
                <w:color w:val="1E293B"/>
                <w:sz w:val="17"/>
                <w:szCs w:val="17"/>
              </w:rPr>
              <w:t xml:space="preserve">clean_mortgages.py, test_clean_mortgages.py, mortgages_2025_clean.csv, data_quality/ reports.</w:t>
            </w:r>
          </w:p>
        </w:tc>
      </w:tr>
      <w:tr>
        <w:tc>
          <w:tcPr>
            <w:tcW w:w="1550" w:type="dxa"/>
            <w:tcMar>
              <w:top w:w="36" w:type="dxa"/>
              <w:bottom w:w="36" w:type="dxa"/>
              <w:left w:w="70" w:type="dxa"/>
              <w:right w:w="70" w:type="dxa"/>
            </w:tcMar>
          </w:tcPr>
          <w:p>
            <w:pPr>
              <w:spacing w:before="10" w:after="10" w:line="200" w:lineRule="auto"/>
            </w:pPr>
            <w:r>
              <w:rPr>
                <w:rFonts w:ascii="Calibri" w:hAnsi="Calibri" w:cs="Calibri"/>
                <w:b/>
                <w:bCs/>
                <w:color w:val="0F172A"/>
                <w:sz w:val="17"/>
                <w:szCs w:val="17"/>
              </w:rPr>
              <w:t xml:space="preserve">5. Analysis &amp; UI
(Oct 22, 2026)</w:t>
            </w:r>
          </w:p>
        </w:tc>
        <w:tc>
          <w:tcPr>
            <w:tcW w:w="1750" w:type="dxa"/>
            <w:tcMar>
              <w:top w:w="36" w:type="dxa"/>
              <w:bottom w:w="36" w:type="dxa"/>
              <w:left w:w="70" w:type="dxa"/>
              <w:right w:w="70" w:type="dxa"/>
            </w:tcMar>
          </w:tcPr>
          <w:p>
            <w:pPr>
              <w:spacing w:before="10" w:after="10" w:line="200" w:lineRule="auto"/>
            </w:pPr>
            <w:r>
              <w:rPr>
                <w:rFonts w:ascii="Calibri" w:hAnsi="Calibri" w:cs="Calibri"/>
                <w:color w:val="1E293B"/>
                <w:sz w:val="17"/>
                <w:szCs w:val="17"/>
              </w:rPr>
              <w:t xml:space="preserve">Google Antigravity
(Gemini 3.1 Pro)</w:t>
            </w:r>
          </w:p>
        </w:tc>
        <w:tc>
          <w:tcPr>
            <w:tcW w:w="3950" w:type="dxa"/>
            <w:tcMar>
              <w:top w:w="36" w:type="dxa"/>
              <w:bottom w:w="36" w:type="dxa"/>
              <w:left w:w="70" w:type="dxa"/>
              <w:right w:w="70" w:type="dxa"/>
            </w:tcMar>
          </w:tcPr>
          <w:p>
            <w:pPr>
              <w:spacing w:before="10" w:after="10" w:line="200" w:lineRule="auto"/>
            </w:pPr>
            <w:r>
              <w:rPr>
                <w:rFonts w:ascii="Calibri" w:hAnsi="Calibri" w:cs="Calibri"/>
                <w:color w:val="1E293B"/>
                <w:sz w:val="17"/>
                <w:szCs w:val="17"/>
              </w:rPr>
              <w:t xml:space="preserve">"Make a clean 3-tab dashboard with straightforward takeaways." -&gt; "Isn't DTI &gt;=50% misleading since banks lack CLTV &gt;80% there?" -&gt; "Once DTI &gt;=50% is excluded, use the +16.4 bps 4-variable baseline."</w:t>
            </w:r>
          </w:p>
        </w:tc>
        <w:tc>
          <w:tcPr>
            <w:tcW w:w="3250" w:type="dxa"/>
            <w:tcMar>
              <w:top w:w="36" w:type="dxa"/>
              <w:bottom w:w="36" w:type="dxa"/>
              <w:left w:w="70" w:type="dxa"/>
              <w:right w:w="70" w:type="dxa"/>
            </w:tcMar>
          </w:tcPr>
          <w:p>
            <w:pPr>
              <w:spacing w:before="10" w:after="10" w:line="200" w:lineRule="auto"/>
            </w:pPr>
            <w:r>
              <w:rPr>
                <w:rFonts w:ascii="Calibri" w:hAnsi="Calibri" w:cs="Calibri"/>
                <w:color w:val="1E293B"/>
                <w:sz w:val="17"/>
                <w:szCs w:val="17"/>
              </w:rPr>
              <w:t xml:space="preserve">analyze_pricing.py, build_dashboard.py, build_technical_memo.py, Dashboard.html, Technical Memo.docx.</w:t>
            </w:r>
          </w:p>
        </w:tc>
      </w:tr>
      <w:tr>
        <w:tc>
          <w:tcPr>
            <w:tcW w:w="1550" w:type="dxa"/>
            <w:tcMar>
              <w:top w:w="36" w:type="dxa"/>
              <w:bottom w:w="36" w:type="dxa"/>
              <w:left w:w="70" w:type="dxa"/>
              <w:right w:w="70" w:type="dxa"/>
            </w:tcMar>
          </w:tcPr>
          <w:p>
            <w:pPr>
              <w:spacing w:before="10" w:after="10" w:line="200" w:lineRule="auto"/>
            </w:pPr>
            <w:r>
              <w:rPr>
                <w:rFonts w:ascii="Calibri" w:hAnsi="Calibri" w:cs="Calibri"/>
                <w:b/>
                <w:bCs/>
                <w:color w:val="0F172A"/>
                <w:sz w:val="17"/>
                <w:szCs w:val="17"/>
              </w:rPr>
              <w:t xml:space="preserve">6. Peer Review
(Oct 25, 2026)</w:t>
            </w:r>
          </w:p>
        </w:tc>
        <w:tc>
          <w:tcPr>
            <w:tcW w:w="1750" w:type="dxa"/>
            <w:tcMar>
              <w:top w:w="36" w:type="dxa"/>
              <w:bottom w:w="36" w:type="dxa"/>
              <w:left w:w="70" w:type="dxa"/>
              <w:right w:w="70" w:type="dxa"/>
            </w:tcMar>
          </w:tcPr>
          <w:p>
            <w:pPr>
              <w:spacing w:before="10" w:after="10" w:line="200" w:lineRule="auto"/>
            </w:pPr>
            <w:r>
              <w:rPr>
                <w:rFonts w:ascii="Calibri" w:hAnsi="Calibri" w:cs="Calibri"/>
                <w:color w:val="1E293B"/>
                <w:sz w:val="17"/>
                <w:szCs w:val="17"/>
              </w:rPr>
              <w:t xml:space="preserve">Claude (claude.ai)
Claude Opus 5.5</w:t>
            </w:r>
          </w:p>
        </w:tc>
        <w:tc>
          <w:tcPr>
            <w:tcW w:w="3950" w:type="dxa"/>
            <w:tcMar>
              <w:top w:w="36" w:type="dxa"/>
              <w:bottom w:w="36" w:type="dxa"/>
              <w:left w:w="70" w:type="dxa"/>
              <w:right w:w="70" w:type="dxa"/>
            </w:tcMar>
          </w:tcPr>
          <w:p>
            <w:pPr>
              <w:spacing w:before="10" w:after="10" w:line="200" w:lineRule="auto"/>
            </w:pPr>
            <w:r>
              <w:rPr>
                <w:rFonts w:ascii="Calibri" w:hAnsi="Calibri" w:cs="Calibri"/>
                <w:color w:val="1E293B"/>
                <w:sz w:val="17"/>
                <w:szCs w:val="17"/>
              </w:rPr>
              <w:t xml:space="preserve">"Review the repository against the rubric, challenge the Fintech vs. nonbank classification, and draft the position memo."</w:t>
            </w:r>
          </w:p>
        </w:tc>
        <w:tc>
          <w:tcPr>
            <w:tcW w:w="3250" w:type="dxa"/>
            <w:tcMar>
              <w:top w:w="36" w:type="dxa"/>
              <w:bottom w:w="36" w:type="dxa"/>
              <w:left w:w="70" w:type="dxa"/>
              <w:right w:w="70" w:type="dxa"/>
            </w:tcMar>
          </w:tcPr>
          <w:p>
            <w:pPr>
              <w:spacing w:before="10" w:after="10" w:line="200" w:lineRule="auto"/>
            </w:pPr>
            <w:r>
              <w:rPr>
                <w:rFonts w:ascii="Calibri" w:hAnsi="Calibri" w:cs="Calibri"/>
                <w:color w:val="1E293B"/>
                <w:sz w:val="17"/>
                <w:szCs w:val="17"/>
              </w:rPr>
              <w:t xml:space="preserve">build_position_memo.py, Position Memo.docx, nonbank TYPE 40/41 robustness check, updated tests.</w:t>
            </w:r>
          </w:p>
        </w:tc>
      </w:tr>
    </w:tbl>
    <w:p>
      <w:pPr>
        <w:pBdr>
          <w:bottom w:val="single" w:sz="6" w:space="2" w:color="CBD5E1"/>
        </w:pBdr>
        <w:spacing w:before="90" w:after="36" w:line="220" w:lineRule="auto"/>
      </w:pPr>
      <w:r>
        <w:rPr>
          <w:rFonts w:ascii="Calibri" w:hAnsi="Calibri" w:cs="Calibri"/>
          <w:b/>
          <w:bCs/>
          <w:color w:val="0F172A"/>
          <w:sz w:val="20"/>
          <w:szCs w:val="20"/>
        </w:rPr>
        <w:t xml:space="preserve">2. Validation Shown: LLM Errors Challenged and Corrected</w:t>
      </w:r>
    </w:p>
    <w:p>
      <w:pPr>
        <w:ind w:left="180" w:hanging="180"/>
        <w:spacing w:before="20" w:after="24" w:line="216" w:lineRule="auto"/>
      </w:pPr>
      <w:r>
        <w:rPr>
          <w:rFonts w:ascii="Calibri" w:hAnsi="Calibri" w:cs="Calibri"/>
          <w:b/>
          <w:bCs/>
          <w:color w:val="B45309"/>
          <w:sz w:val="18"/>
          <w:szCs w:val="18"/>
        </w:rPr>
        <w:t xml:space="preserve">• </w:t>
      </w:r>
      <w:r>
        <w:rPr>
          <w:rFonts w:ascii="Calibri" w:hAnsi="Calibri" w:cs="Calibri"/>
          <w:b/>
          <w:bCs/>
          <w:color w:val="0F172A"/>
          <w:sz w:val="18"/>
          <w:szCs w:val="18"/>
        </w:rPr>
        <w:t xml:space="preserve">1. Rejected Invalid Audiences (Session 1): </w:t>
      </w:r>
      <w:r>
        <w:rPr>
          <w:rFonts w:ascii="Calibri" w:hAnsi="Calibri" w:cs="Calibri"/>
          <w:color w:val="1E293B"/>
          <w:sz w:val="18"/>
          <w:szCs w:val="18"/>
        </w:rPr>
        <w:t xml:space="preserve">Rejected the LLM's housing-counselor and finance-editor pitches after checking HUD Handbook 7610.1 (counselors cannot steer borrowers to specific lender types) and the rubric's "Now What" requirement. Selected AFC leadership deciding on a Q1 2027 member pricing review.</w:t>
      </w:r>
    </w:p>
    <w:p>
      <w:pPr>
        <w:ind w:left="180" w:hanging="180"/>
        <w:spacing w:before="20" w:after="24" w:line="216" w:lineRule="auto"/>
      </w:pPr>
      <w:r>
        <w:rPr>
          <w:rFonts w:ascii="Calibri" w:hAnsi="Calibri" w:cs="Calibri"/>
          <w:b/>
          <w:bCs/>
          <w:color w:val="B45309"/>
          <w:sz w:val="18"/>
          <w:szCs w:val="18"/>
        </w:rPr>
        <w:t xml:space="preserve">• </w:t>
      </w:r>
      <w:r>
        <w:rPr>
          <w:rFonts w:ascii="Calibri" w:hAnsi="Calibri" w:cs="Calibri"/>
          <w:b/>
          <w:bCs/>
          <w:color w:val="0F172A"/>
          <w:sz w:val="18"/>
          <w:szCs w:val="18"/>
        </w:rPr>
        <w:t xml:space="preserve">2. Audited Fintech Lists &amp; Resolved ID Mismatch (Session 1): </w:t>
      </w:r>
      <w:r>
        <w:rPr>
          <w:rFonts w:ascii="Calibri" w:hAnsi="Calibri" w:cs="Calibri"/>
          <w:color w:val="1E293B"/>
          <w:sz w:val="18"/>
          <w:szCs w:val="18"/>
        </w:rPr>
        <w:t xml:space="preserve">Manually supplied the NYU Stern Excel list and directed a cross-audit against Buchak et al., exposing duplicate rows and bank/credit-union contamination in Buchak's list. Bridged the 2017 RSSD ID to 2025 LEI gap using the Philadelphia Fed Lender File.</w:t>
      </w:r>
    </w:p>
    <w:p>
      <w:pPr>
        <w:ind w:left="180" w:hanging="180"/>
        <w:spacing w:before="20" w:after="24" w:line="216" w:lineRule="auto"/>
      </w:pPr>
      <w:r>
        <w:rPr>
          <w:rFonts w:ascii="Calibri" w:hAnsi="Calibri" w:cs="Calibri"/>
          <w:b/>
          <w:bCs/>
          <w:color w:val="B45309"/>
          <w:sz w:val="18"/>
          <w:szCs w:val="18"/>
        </w:rPr>
        <w:t xml:space="preserve">• </w:t>
      </w:r>
      <w:r>
        <w:rPr>
          <w:rFonts w:ascii="Calibri" w:hAnsi="Calibri" w:cs="Calibri"/>
          <w:b/>
          <w:bCs/>
          <w:color w:val="0F172A"/>
          <w:sz w:val="18"/>
          <w:szCs w:val="18"/>
        </w:rPr>
        <w:t xml:space="preserve">3. Replaced Naive Missing-Value Handling (Session 2): </w:t>
      </w:r>
      <w:r>
        <w:rPr>
          <w:rFonts w:ascii="Calibri" w:hAnsi="Calibri" w:cs="Calibri"/>
          <w:color w:val="1E293B"/>
          <w:sz w:val="18"/>
          <w:szCs w:val="18"/>
        </w:rPr>
        <w:t xml:space="preserve">Rejected early exploratory code that treated "NA", "Exempt", and blanks as identical NaNs. Built a standard-library pipeline (clean_mortgages.py) that preserves all 1,508,076 rows, keeps valid $0 origination fees (28,851 loans), and parses both text DTI bands and exact integers.</w:t>
      </w:r>
    </w:p>
    <w:p>
      <w:pPr>
        <w:ind w:left="180" w:hanging="180"/>
        <w:spacing w:before="20" w:after="24" w:line="216" w:lineRule="auto"/>
      </w:pPr>
      <w:r>
        <w:rPr>
          <w:rFonts w:ascii="Calibri" w:hAnsi="Calibri" w:cs="Calibri"/>
          <w:b/>
          <w:bCs/>
          <w:color w:val="B45309"/>
          <w:sz w:val="18"/>
          <w:szCs w:val="18"/>
        </w:rPr>
        <w:t xml:space="preserve">• </w:t>
      </w:r>
      <w:r>
        <w:rPr>
          <w:rFonts w:ascii="Calibri" w:hAnsi="Calibri" w:cs="Calibri"/>
          <w:b/>
          <w:bCs/>
          <w:color w:val="0F172A"/>
          <w:sz w:val="18"/>
          <w:szCs w:val="18"/>
        </w:rPr>
        <w:t xml:space="preserve">4. Caught DTI &gt;=50% Distortion &amp; Reconciled +16.4 bps Headline (Session 2): </w:t>
      </w:r>
      <w:r>
        <w:rPr>
          <w:rFonts w:ascii="Calibri" w:hAnsi="Calibri" w:cs="Calibri"/>
          <w:color w:val="1E293B"/>
          <w:sz w:val="18"/>
          <w:szCs w:val="18"/>
        </w:rPr>
        <w:t xml:space="preserve">Questioned why DTI &gt;=50% lacked bank comparisons at high CLTV; loan-level inspection showed 99.6% of conforming loans have DTI &lt;50% and 69% of Fintech DTI &gt;=50% loans came from one manufactured-housing lender (21st Mortgage) with missing CLTV. Excluded DTI &gt;=50% and corrected the headline from +17.2 bps (unadjusted) to +16.4 bps (controlled baseline).</w:t>
      </w:r>
    </w:p>
    <w:p>
      <w:pPr>
        <w:ind w:left="180" w:hanging="180"/>
        <w:spacing w:before="20" w:after="24" w:line="216" w:lineRule="auto"/>
      </w:pPr>
      <w:r>
        <w:rPr>
          <w:rFonts w:ascii="Calibri" w:hAnsi="Calibri" w:cs="Calibri"/>
          <w:b/>
          <w:bCs/>
          <w:color w:val="B45309"/>
          <w:sz w:val="18"/>
          <w:szCs w:val="18"/>
        </w:rPr>
        <w:t xml:space="preserve">• </w:t>
      </w:r>
      <w:r>
        <w:rPr>
          <w:rFonts w:ascii="Calibri" w:hAnsi="Calibri" w:cs="Calibri"/>
          <w:b/>
          <w:bCs/>
          <w:color w:val="0F172A"/>
          <w:sz w:val="18"/>
          <w:szCs w:val="18"/>
        </w:rPr>
        <w:t xml:space="preserve">5. Redesigned Dashboard &amp; Added Nonbank Comparator (Sessions 2 &amp; 3): </w:t>
      </w:r>
      <w:r>
        <w:rPr>
          <w:rFonts w:ascii="Calibri" w:hAnsi="Calibri" w:cs="Calibri"/>
          <w:color w:val="1E293B"/>
          <w:sz w:val="18"/>
          <w:szCs w:val="18"/>
        </w:rPr>
        <w:t xml:space="preserve">Replaced a dense single-page draft with a clean 3-tab layout and visual IQR/bar comparisons. During peer review, rejected a false LLM claim that static HTML lacked data, fixed unverified README figures, and added a non-fintech nonbank (TYPE 40/41) comparator. Its result (-1.2 bps) led the team to reframe the recommendation as a review benchmarked against nonbank peers.</w:t>
      </w:r>
    </w:p>
    <w:p>
      <w:pPr>
        <w:pBdr>
          <w:bottom w:val="single" w:sz="6" w:space="2" w:color="CBD5E1"/>
        </w:pBdr>
        <w:spacing w:before="90" w:after="36" w:line="220" w:lineRule="auto"/>
      </w:pPr>
      <w:r>
        <w:rPr>
          <w:rFonts w:ascii="Calibri" w:hAnsi="Calibri" w:cs="Calibri"/>
          <w:b/>
          <w:bCs/>
          <w:color w:val="0F172A"/>
          <w:sz w:val="20"/>
          <w:szCs w:val="20"/>
        </w:rPr>
        <w:t xml:space="preserve">3. Clear Human Ownership (Decisions and Verified Numbers)</w:t>
      </w:r>
    </w:p>
    <w:p>
      <w:pPr>
        <w:ind w:left="180" w:hanging="180"/>
        <w:spacing w:before="20" w:after="24" w:line="216" w:lineRule="auto"/>
      </w:pPr>
      <w:r>
        <w:rPr>
          <w:rFonts w:ascii="Calibri" w:hAnsi="Calibri" w:cs="Calibri"/>
          <w:b/>
          <w:bCs/>
          <w:color w:val="B45309"/>
          <w:sz w:val="18"/>
          <w:szCs w:val="18"/>
        </w:rPr>
        <w:t xml:space="preserve">• </w:t>
      </w:r>
      <w:r>
        <w:rPr>
          <w:rFonts w:ascii="Calibri" w:hAnsi="Calibri" w:cs="Calibri"/>
          <w:b/>
          <w:bCs/>
          <w:color w:val="0F172A"/>
          <w:sz w:val="18"/>
          <w:szCs w:val="18"/>
        </w:rPr>
        <w:t xml:space="preserve">Methodology &amp; Design Owned by Humans: </w:t>
      </w:r>
      <w:r>
        <w:rPr>
          <w:rFonts w:ascii="Calibri" w:hAnsi="Calibri" w:cs="Calibri"/>
          <w:color w:val="1E293B"/>
          <w:sz w:val="18"/>
          <w:szCs w:val="18"/>
        </w:rPr>
        <w:t xml:space="preserve">Angga Lesmana selected the AFC audience, NYU Stern classification, depository bank benchmark (TYPE 10/14/20), fee normalization (origination_charges / loan_amount), conforming DTI &lt;50% scope, and 3-tab dashboard design. Violla Tania directed the peer review, non-fintech nonbank robustness check (TYPE 40/41), and Position Memo structure.</w:t>
      </w:r>
    </w:p>
    <w:p>
      <w:pPr>
        <w:ind w:left="180" w:hanging="180"/>
        <w:spacing w:before="20" w:after="24" w:line="216" w:lineRule="auto"/>
      </w:pPr>
      <w:r>
        <w:rPr>
          <w:rFonts w:ascii="Calibri" w:hAnsi="Calibri" w:cs="Calibri"/>
          <w:b/>
          <w:bCs/>
          <w:color w:val="B45309"/>
          <w:sz w:val="18"/>
          <w:szCs w:val="18"/>
        </w:rPr>
        <w:t xml:space="preserve">• </w:t>
      </w:r>
      <w:r>
        <w:rPr>
          <w:rFonts w:ascii="Calibri" w:hAnsi="Calibri" w:cs="Calibri"/>
          <w:b/>
          <w:bCs/>
          <w:color w:val="0F172A"/>
          <w:sz w:val="18"/>
          <w:szCs w:val="18"/>
        </w:rPr>
        <w:t xml:space="preserve">Final Figures Verified Against Pipeline Outputs: </w:t>
      </w:r>
      <w:r>
        <w:rPr>
          <w:rFonts w:ascii="Calibri" w:hAnsi="Calibri" w:cs="Calibri"/>
          <w:color w:val="1E293B"/>
          <w:sz w:val="18"/>
          <w:szCs w:val="18"/>
        </w:rPr>
        <w:t xml:space="preserve">1,508,076 conforming loans extracted; 511,199 controlled baseline loans (173,033 Fintech across 14 lenders vs. 338,166 Bank across 655 lenders); +16.4 bps median rate-spread gap (0.213% vs. 0.049%; lender-clustered 95% CI: +11.5 to +23.3 bps); +12.5 bps rate gap; +37.2 bps origination-fee gap; Fintech higher in 16 of 16 DTI x CLTV cells and 12 of 14 lenders; -1.2 bps spread gap vs. 600 non-fintech nonbanks (808,681 loans).</w:t>
      </w:r>
    </w:p>
    <w:sectPr>
      <w:pgSz w:w="12240" w:h="15840"/>
      <w:pgMar w:top="720" w:right="864" w:bottom="720" w:left="864" w:header="432" w:footer="43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80B04AF"/>
    <w:multiLevelType w:val="multilevel"/>
    <w:tmpl w:val="DDFA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4548EA"/>
    <w:multiLevelType w:val="multilevel"/>
    <w:tmpl w:val="F1EE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883297"/>
    <w:multiLevelType w:val="multilevel"/>
    <w:tmpl w:val="F65E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922429">
    <w:abstractNumId w:val="1"/>
  </w:num>
  <w:num w:numId="2" w16cid:durableId="1271819744">
    <w:abstractNumId w:val="0"/>
  </w:num>
  <w:num w:numId="3" w16cid:durableId="50713841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357"/>
    <w:rsid w:val="000941D4"/>
    <w:rsid w:val="000F69AA"/>
    <w:rsid w:val="0013085B"/>
    <w:rsid w:val="001D6DBD"/>
    <w:rsid w:val="002370B6"/>
    <w:rsid w:val="002D0985"/>
    <w:rsid w:val="00433C5E"/>
    <w:rsid w:val="00925C30"/>
    <w:rsid w:val="00974308"/>
    <w:rsid w:val="009F043C"/>
    <w:rsid w:val="00D728A5"/>
    <w:rsid w:val="00D95B1D"/>
    <w:rsid w:val="00F30357"/>
    <w:rsid w:val="00FD6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5F877B"/>
  <w15:chartTrackingRefBased/>
  <w15:docId w15:val="{4E5B8505-46CC-804F-8044-E5736BADA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0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0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30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3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03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303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D6D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753</Words>
  <Characters>4294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Angga Lesmana</dc:creator>
  <cp:keywords/>
  <dc:description/>
  <cp:lastModifiedBy>Angga Lesmana</cp:lastModifiedBy>
  <cp:revision>5</cp:revision>
  <dcterms:created xsi:type="dcterms:W3CDTF">2026-10-02T16:53:00Z</dcterms:created>
  <dcterms:modified xsi:type="dcterms:W3CDTF">2026-10-22T17:14:00Z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44290776-7843-4B97-A1CD-4253E7C1ED50</vt:lpwstr>
  </property>
</Properties>
</file>