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spacing w:before="0" w:after="12" w:line="215" w:lineRule="auto"/>
      </w:pPr>
      <w:r>
        <w:rPr>
          <w:rFonts w:ascii="Calibri" w:hAnsi="Calibri" w:cs="Calibri"/>
          <w:b/>
          <w:bCs/>
          <w:color w:val="0F172A"/>
          <w:sz w:val="22"/>
          <w:szCs w:val="22"/>
        </w:rPr>
        <w:t xml:space="preserve">FINTECH 590 — PROJECT AUDIBLE: TECHNICAL MEMO</w:t>
      </w:r>
    </w:p>
    <w:p>
      <w:pPr>
        <w:pBdr>
          <w:bottom w:val="single" w:sz="6" w:space="2" w:color="CBD5E1"/>
        </w:pBdr>
        <w:spacing w:before="0" w:after="40" w:line="205" w:lineRule="auto"/>
      </w:pPr>
      <w:r>
        <w:rPr>
          <w:rFonts w:ascii="Calibri" w:hAnsi="Calibri" w:cs="Calibri"/>
          <w:b/>
          <w:bCs/>
          <w:color w:val="B45309"/>
          <w:sz w:val="18"/>
          <w:szCs w:val="18"/>
        </w:rPr>
        <w:t xml:space="preserve">Topic: </w:t>
      </w:r>
      <w:r>
        <w:rPr>
          <w:rFonts w:ascii="Calibri" w:hAnsi="Calibri" w:cs="Calibri"/>
          <w:color w:val="334155"/>
          <w:sz w:val="18"/>
          <w:szCs w:val="18"/>
        </w:rPr>
        <w:t xml:space="preserve">Fintech vs. Bank Mortgage Pricing   |   </w:t>
      </w:r>
      <w:r>
        <w:rPr>
          <w:rFonts w:ascii="Calibri" w:hAnsi="Calibri" w:cs="Calibri"/>
          <w:b/>
          <w:bCs/>
          <w:color w:val="B45309"/>
          <w:sz w:val="18"/>
          <w:szCs w:val="18"/>
        </w:rPr>
        <w:t xml:space="preserve">Audience: </w:t>
      </w:r>
      <w:r>
        <w:rPr>
          <w:rFonts w:ascii="Calibri" w:hAnsi="Calibri" w:cs="Calibri"/>
          <w:color w:val="334155"/>
          <w:sz w:val="18"/>
          <w:szCs w:val="18"/>
        </w:rPr>
        <w:t xml:space="preserve">American Fintech Council (AFC)   |   </w:t>
      </w:r>
      <w:r>
        <w:rPr>
          <w:rFonts w:ascii="Calibri" w:hAnsi="Calibri" w:cs="Calibri"/>
          <w:b/>
          <w:bCs/>
          <w:color w:val="B45309"/>
          <w:sz w:val="18"/>
          <w:szCs w:val="18"/>
        </w:rPr>
        <w:t xml:space="preserve">Date: </w:t>
      </w:r>
      <w:r>
        <w:rPr>
          <w:rFonts w:ascii="Calibri" w:hAnsi="Calibri" w:cs="Calibri"/>
          <w:color w:val="334155"/>
          <w:sz w:val="18"/>
          <w:szCs w:val="18"/>
        </w:rPr>
        <w:t xml:space="preserve">October 26, 2026</w:t>
      </w:r>
    </w:p>
    <w:p>
      <w:pPr>
        <w:pBdr>
          <w:bottom w:val="single" w:sz="6" w:space="2" w:color="CBD5E1"/>
        </w:pBdr>
        <w:spacing w:before="80" w:after="30" w:line="215" w:lineRule="auto"/>
      </w:pPr>
      <w:r>
        <w:rPr>
          <w:rFonts w:ascii="Calibri" w:hAnsi="Calibri" w:cs="Calibri"/>
          <w:b/>
          <w:bCs/>
          <w:color w:val="0F172A"/>
          <w:sz w:val="20"/>
          <w:szCs w:val="20"/>
        </w:rPr>
        <w:t xml:space="preserve">1. Data Sources and Provenance</w:t>
      </w:r>
    </w:p>
    <w:tbl>
      <w:tblPr>
        <w:tblW w:w="105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blGrid>
        <w:gridCol w:w="2450"/>
        <w:gridCol w:w="2200"/>
        <w:gridCol w:w="5850"/>
      </w:tblGrid>
      <w:tr>
        <w:tc>
          <w:tcPr>
            <w:tcW w:w="2450" w:type="dxa"/>
            <w:shd w:val="clear" w:color="auto" w:fill="F1F5F9"/>
            <w:tcMar>
              <w:top w:w="28" w:type="dxa"/>
              <w:bottom w:w="28" w:type="dxa"/>
              <w:left w:w="65" w:type="dxa"/>
              <w:right w:w="65" w:type="dxa"/>
            </w:tcMar>
          </w:tcPr>
          <w:p>
            <w:pPr>
              <w:spacing w:before="8" w:after="8" w:line="195" w:lineRule="auto"/>
            </w:pPr>
            <w:r>
              <w:rPr>
                <w:rFonts w:ascii="Calibri" w:hAnsi="Calibri" w:cs="Calibri"/>
                <w:b/>
                <w:bCs/>
                <w:color w:val="0F172A"/>
                <w:sz w:val="17"/>
                <w:szCs w:val="17"/>
              </w:rPr>
              <w:t xml:space="preserve">Source Dataset</w:t>
            </w:r>
          </w:p>
        </w:tc>
        <w:tc>
          <w:tcPr>
            <w:tcW w:w="2200" w:type="dxa"/>
            <w:shd w:val="clear" w:color="auto" w:fill="F1F5F9"/>
            <w:tcMar>
              <w:top w:w="28" w:type="dxa"/>
              <w:bottom w:w="28" w:type="dxa"/>
              <w:left w:w="65" w:type="dxa"/>
              <w:right w:w="65" w:type="dxa"/>
            </w:tcMar>
          </w:tcPr>
          <w:p>
            <w:pPr>
              <w:spacing w:before="8" w:after="8" w:line="195" w:lineRule="auto"/>
            </w:pPr>
            <w:r>
              <w:rPr>
                <w:rFonts w:ascii="Calibri" w:hAnsi="Calibri" w:cs="Calibri"/>
                <w:b/>
                <w:bCs/>
                <w:color w:val="0F172A"/>
                <w:sz w:val="17"/>
                <w:szCs w:val="17"/>
              </w:rPr>
              <w:t xml:space="preserve">Version &amp; Access Date</w:t>
            </w:r>
          </w:p>
        </w:tc>
        <w:tc>
          <w:tcPr>
            <w:tcW w:w="5850" w:type="dxa"/>
            <w:shd w:val="clear" w:color="auto" w:fill="F1F5F9"/>
            <w:tcMar>
              <w:top w:w="28" w:type="dxa"/>
              <w:bottom w:w="28" w:type="dxa"/>
              <w:left w:w="65" w:type="dxa"/>
              <w:right w:w="65" w:type="dxa"/>
            </w:tcMar>
          </w:tcPr>
          <w:p>
            <w:pPr>
              <w:spacing w:before="8" w:after="8" w:line="195" w:lineRule="auto"/>
            </w:pPr>
            <w:r>
              <w:rPr>
                <w:rFonts w:ascii="Calibri" w:hAnsi="Calibri" w:cs="Calibri"/>
                <w:b/>
                <w:bCs/>
                <w:color w:val="0F172A"/>
                <w:sz w:val="17"/>
                <w:szCs w:val="17"/>
              </w:rPr>
              <w:t xml:space="preserve">How Pulled &amp; Verification</w:t>
            </w:r>
          </w:p>
        </w:tc>
      </w:tr>
      <w:tr>
        <w:tc>
          <w:tcPr>
            <w:tcW w:w="2450" w:type="dxa"/>
            <w:tcMar>
              <w:top w:w="28" w:type="dxa"/>
              <w:bottom w:w="28" w:type="dxa"/>
              <w:left w:w="65" w:type="dxa"/>
              <w:right w:w="65" w:type="dxa"/>
            </w:tcMar>
          </w:tcPr>
          <w:p>
            <w:pPr>
              <w:spacing w:before="8" w:after="8" w:line="195" w:lineRule="auto"/>
            </w:pPr>
            <w:r>
              <w:rPr>
                <w:rFonts w:ascii="Calibri" w:hAnsi="Calibri" w:cs="Calibri"/>
                <w:b/>
                <w:bCs/>
                <w:color w:val="0F172A"/>
                <w:sz w:val="17"/>
                <w:szCs w:val="17"/>
              </w:rPr>
              <w:t xml:space="preserve">FFIEC / CFPB 2025 HMDA Static Snapshot (LAR &amp; TS)</w:t>
            </w:r>
          </w:p>
        </w:tc>
        <w:tc>
          <w:tcPr>
            <w:tcW w:w="2200" w:type="dxa"/>
            <w:tcMar>
              <w:top w:w="28" w:type="dxa"/>
              <w:bottom w:w="28" w:type="dxa"/>
              <w:left w:w="65" w:type="dxa"/>
              <w:right w:w="65" w:type="dxa"/>
            </w:tcMar>
          </w:tcPr>
          <w:p>
            <w:pPr>
              <w:spacing w:before="8" w:after="8" w:line="195" w:lineRule="auto"/>
            </w:pPr>
            <w:r>
              <w:rPr>
                <w:rFonts w:ascii="Calibri" w:hAnsi="Calibri" w:cs="Calibri"/>
                <w:color w:val="1E293B"/>
                <w:sz w:val="17"/>
                <w:szCs w:val="17"/>
              </w:rPr>
              <w:t xml:space="preserve">2025 Snapshot (Modified Jun 23, 2026); accessed Oct 22, 2026</w:t>
            </w:r>
          </w:p>
        </w:tc>
        <w:tc>
          <w:tcPr>
            <w:tcW w:w="5850" w:type="dxa"/>
            <w:tcMar>
              <w:top w:w="28" w:type="dxa"/>
              <w:bottom w:w="28" w:type="dxa"/>
              <w:left w:w="65" w:type="dxa"/>
              <w:right w:w="65" w:type="dxa"/>
            </w:tcMar>
          </w:tcPr>
          <w:p>
            <w:pPr>
              <w:spacing w:before="8" w:after="8" w:line="195" w:lineRule="auto"/>
            </w:pPr>
            <w:r>
              <w:rPr>
                <w:rFonts w:ascii="Calibri" w:hAnsi="Calibri" w:cs="Calibri"/>
                <w:color w:val="1E293B"/>
                <w:sz w:val="17"/>
                <w:szCs w:val="17"/>
              </w:rPr>
              <w:t xml:space="preserve">Pulled via download_hmda.py from files.ffiec.cfpb.gov/static-data/snapshot/2025/ (2025_public_lar_csv.zip, 737.1 MB, SHA-256: 9b25c05d...; 2025_public_ts_csv.zip, 194.2 KB, SHA-256: 6d4157af...). Static archive used instead of live API.</w:t>
            </w:r>
          </w:p>
        </w:tc>
      </w:tr>
      <w:tr>
        <w:tc>
          <w:tcPr>
            <w:tcW w:w="2450" w:type="dxa"/>
            <w:tcMar>
              <w:top w:w="28" w:type="dxa"/>
              <w:bottom w:w="28" w:type="dxa"/>
              <w:left w:w="65" w:type="dxa"/>
              <w:right w:w="65" w:type="dxa"/>
            </w:tcMar>
          </w:tcPr>
          <w:p>
            <w:pPr>
              <w:spacing w:before="8" w:after="8" w:line="195" w:lineRule="auto"/>
            </w:pPr>
            <w:r>
              <w:rPr>
                <w:rFonts w:ascii="Calibri" w:hAnsi="Calibri" w:cs="Calibri"/>
                <w:b/>
                <w:bCs/>
                <w:color w:val="0F172A"/>
                <w:sz w:val="17"/>
                <w:szCs w:val="17"/>
              </w:rPr>
              <w:t xml:space="preserve">NYU Stern Fintech Classification (Fuster et al., 2019)</w:t>
            </w:r>
          </w:p>
        </w:tc>
        <w:tc>
          <w:tcPr>
            <w:tcW w:w="2200" w:type="dxa"/>
            <w:tcMar>
              <w:top w:w="28" w:type="dxa"/>
              <w:bottom w:w="28" w:type="dxa"/>
              <w:left w:w="65" w:type="dxa"/>
              <w:right w:w="65" w:type="dxa"/>
            </w:tcMar>
          </w:tcPr>
          <w:p>
            <w:pPr>
              <w:spacing w:before="8" w:after="8" w:line="195" w:lineRule="auto"/>
            </w:pPr>
            <w:r>
              <w:rPr>
                <w:rFonts w:ascii="Calibri" w:hAnsi="Calibri" w:cs="Calibri"/>
                <w:color w:val="1E293B"/>
                <w:sz w:val="17"/>
                <w:szCs w:val="17"/>
              </w:rPr>
              <w:t xml:space="preserve">Cumulative 2017 list (NY Fed SR 836); accessed Oct 22, 2026</w:t>
            </w:r>
          </w:p>
        </w:tc>
        <w:tc>
          <w:tcPr>
            <w:tcW w:w="5850" w:type="dxa"/>
            <w:tcMar>
              <w:top w:w="28" w:type="dxa"/>
              <w:bottom w:w="28" w:type="dxa"/>
              <w:left w:w="65" w:type="dxa"/>
              <w:right w:w="65" w:type="dxa"/>
            </w:tcMar>
          </w:tcPr>
          <w:p>
            <w:pPr>
              <w:spacing w:before="8" w:after="8" w:line="195" w:lineRule="auto"/>
            </w:pPr>
            <w:r>
              <w:rPr>
                <w:rFonts w:ascii="Calibri" w:hAnsi="Calibri" w:cs="Calibri"/>
                <w:color w:val="1E293B"/>
                <w:sz w:val="17"/>
                <w:szCs w:val="17"/>
              </w:rPr>
              <w:t xml:space="preserve">Pulled from pages.stern.nyu.edu/pschnabl/data/data_fintech.htm (fintech_classification.xlsx, SHA-256: bc59ce16...). Identifies 18 online-origination lenders by RSSD ID (15 active in 2025 HMDA; 14 in controlled sample).</w:t>
            </w:r>
          </w:p>
        </w:tc>
      </w:tr>
      <w:tr>
        <w:tc>
          <w:tcPr>
            <w:tcW w:w="2450" w:type="dxa"/>
            <w:tcMar>
              <w:top w:w="28" w:type="dxa"/>
              <w:bottom w:w="28" w:type="dxa"/>
              <w:left w:w="65" w:type="dxa"/>
              <w:right w:w="65" w:type="dxa"/>
            </w:tcMar>
          </w:tcPr>
          <w:p>
            <w:pPr>
              <w:spacing w:before="8" w:after="8" w:line="195" w:lineRule="auto"/>
            </w:pPr>
            <w:r>
              <w:rPr>
                <w:rFonts w:ascii="Calibri" w:hAnsi="Calibri" w:cs="Calibri"/>
                <w:b/>
                <w:bCs/>
                <w:color w:val="0F172A"/>
                <w:sz w:val="17"/>
                <w:szCs w:val="17"/>
              </w:rPr>
              <w:t xml:space="preserve">Philadelphia Fed HMDA Lender File (2018–2025)</w:t>
            </w:r>
          </w:p>
        </w:tc>
        <w:tc>
          <w:tcPr>
            <w:tcW w:w="2200" w:type="dxa"/>
            <w:tcMar>
              <w:top w:w="28" w:type="dxa"/>
              <w:bottom w:w="28" w:type="dxa"/>
              <w:left w:w="65" w:type="dxa"/>
              <w:right w:w="65" w:type="dxa"/>
            </w:tcMar>
          </w:tcPr>
          <w:p>
            <w:pPr>
              <w:spacing w:before="8" w:after="8" w:line="195" w:lineRule="auto"/>
            </w:pPr>
            <w:r>
              <w:rPr>
                <w:rFonts w:ascii="Calibri" w:hAnsi="Calibri" w:cs="Calibri"/>
                <w:color w:val="1E293B"/>
                <w:sz w:val="17"/>
                <w:szCs w:val="17"/>
              </w:rPr>
              <w:t xml:space="preserve">Version Jul 15, 2026; accessed Oct 22, 2026</w:t>
            </w:r>
          </w:p>
        </w:tc>
        <w:tc>
          <w:tcPr>
            <w:tcW w:w="5850" w:type="dxa"/>
            <w:tcMar>
              <w:top w:w="28" w:type="dxa"/>
              <w:bottom w:w="28" w:type="dxa"/>
              <w:left w:w="65" w:type="dxa"/>
              <w:right w:w="65" w:type="dxa"/>
            </w:tcMar>
          </w:tcPr>
          <w:p>
            <w:pPr>
              <w:spacing w:before="8" w:after="8" w:line="195" w:lineRule="auto"/>
            </w:pPr>
            <w:r>
              <w:rPr>
                <w:rFonts w:ascii="Calibri" w:hAnsi="Calibri" w:cs="Calibri"/>
                <w:color w:val="1E293B"/>
                <w:sz w:val="17"/>
                <w:szCs w:val="17"/>
              </w:rPr>
              <w:t xml:space="preserve">Fetched by classify_lenders_nyu.py from philadelphiafed.org (hmda-2018-present.xlsx, saved as raw/hmda_lender_2018_2025_philadelphia_fed.xlsx; SHA-256: a7e72d98...). Links 2025 HMDA lei to Federal Reserve rssd_id and institution TYPE (banks 10/14/20; nonbanks 40/41).</w:t>
            </w:r>
          </w:p>
        </w:tc>
      </w:tr>
    </w:tbl>
    <w:p>
      <w:pPr>
        <w:pBdr>
          <w:bottom w:val="single" w:sz="6" w:space="2" w:color="CBD5E1"/>
        </w:pBdr>
        <w:spacing w:before="80" w:after="30" w:line="215" w:lineRule="auto"/>
      </w:pPr>
      <w:r>
        <w:rPr>
          <w:rFonts w:ascii="Calibri" w:hAnsi="Calibri" w:cs="Calibri"/>
          <w:b/>
          <w:bCs/>
          <w:color w:val="0F172A"/>
          <w:sz w:val="20"/>
          <w:szCs w:val="20"/>
        </w:rPr>
        <w:t xml:space="preserve">2. Data Pipeline, Joins, Transformations, and Key Measures</w:t>
      </w:r>
    </w:p>
    <w:p>
      <w:pPr>
        <w:ind w:left="180" w:hanging="180"/>
        <w:spacing w:before="16" w:after="20" w:line="210" w:lineRule="auto"/>
      </w:pPr>
      <w:r>
        <w:rPr>
          <w:rFonts w:ascii="Calibri" w:hAnsi="Calibri" w:cs="Calibri"/>
          <w:b/>
          <w:bCs/>
          <w:color w:val="B45309"/>
          <w:sz w:val="18"/>
          <w:szCs w:val="18"/>
        </w:rPr>
        <w:t xml:space="preserve">• </w:t>
      </w:r>
      <w:r>
        <w:rPr>
          <w:rFonts w:ascii="Calibri" w:hAnsi="Calibri" w:cs="Calibri"/>
          <w:b/>
          <w:bCs/>
          <w:color w:val="0F172A"/>
          <w:sz w:val="18"/>
          <w:szCs w:val="18"/>
        </w:rPr>
        <w:t xml:space="preserve">Step 1 — Extract &amp; Product Filter (download_hmda.py -&gt; mortgages_2025.csv, 1,508,076 loans): </w:t>
      </w:r>
      <w:r>
        <w:rPr>
          <w:rFonts w:ascii="Calibri" w:hAnsi="Calibri" w:cs="Calibri"/>
          <w:color w:val="1E293B"/>
          <w:sz w:val="18"/>
          <w:szCs w:val="18"/>
        </w:rPr>
        <w:t xml:space="preserve">Streams the compressed LAR ZIP directly, joins respondent names from TS on lei, and keeps U.S. originated (action_taken=1), conventional (loan_type=1), home-purchase (loan_purpose=1), first-lien (lien_status=1), principal-residence (occupancy_type=1), conforming (conforming_loan_limit=C), 30-year fixed-rate (loan_term=360, intro_rate_period=NA) loans.</w:t>
      </w:r>
    </w:p>
    <w:p>
      <w:pPr>
        <w:ind w:left="180" w:hanging="180"/>
        <w:spacing w:before="16" w:after="20" w:line="210" w:lineRule="auto"/>
      </w:pPr>
      <w:r>
        <w:rPr>
          <w:rFonts w:ascii="Calibri" w:hAnsi="Calibri" w:cs="Calibri"/>
          <w:b/>
          <w:bCs/>
          <w:color w:val="B45309"/>
          <w:sz w:val="18"/>
          <w:szCs w:val="18"/>
        </w:rPr>
        <w:t xml:space="preserve">• </w:t>
      </w:r>
      <w:r>
        <w:rPr>
          <w:rFonts w:ascii="Calibri" w:hAnsi="Calibri" w:cs="Calibri"/>
          <w:b/>
          <w:bCs/>
          <w:color w:val="0F172A"/>
          <w:sz w:val="18"/>
          <w:szCs w:val="18"/>
        </w:rPr>
        <w:t xml:space="preserve">Step 2 — Lender Classification Join (classify_lenders_nyu.py -&gt; mortgages_2025_classified.csv): </w:t>
      </w:r>
      <w:r>
        <w:rPr>
          <w:rFonts w:ascii="Calibri" w:hAnsi="Calibri" w:cs="Calibri"/>
          <w:color w:val="1E293B"/>
          <w:sz w:val="18"/>
          <w:szCs w:val="18"/>
        </w:rPr>
        <w:t xml:space="preserve">Joins lei to the Philadelphia Fed file (lei -&gt; rssd_id, TYPE) and matches rssd_id to the NYU list. Classifies Fintech (175,928 loans; 15 lenders) vs. Bank comparator (non-NYU depository banks TYPE 10/14/20: 347,634 loans; 662 lenders). Credit unions (TYPE 30) and other lenders stay out of the main comparison; non-fintech independent mortgage banks (TYPE 40/41) are used only as an alternative comparator.</w:t>
      </w:r>
    </w:p>
    <w:p>
      <w:pPr>
        <w:ind w:left="180" w:hanging="180"/>
        <w:spacing w:before="16" w:after="20" w:line="210" w:lineRule="auto"/>
      </w:pPr>
      <w:r>
        <w:rPr>
          <w:rFonts w:ascii="Calibri" w:hAnsi="Calibri" w:cs="Calibri"/>
          <w:b/>
          <w:bCs/>
          <w:color w:val="B45309"/>
          <w:sz w:val="18"/>
          <w:szCs w:val="18"/>
        </w:rPr>
        <w:t xml:space="preserve">• </w:t>
      </w:r>
      <w:r>
        <w:rPr>
          <w:rFonts w:ascii="Calibri" w:hAnsi="Calibri" w:cs="Calibri"/>
          <w:b/>
          <w:bCs/>
          <w:color w:val="0F172A"/>
          <w:sz w:val="18"/>
          <w:szCs w:val="18"/>
        </w:rPr>
        <w:t xml:space="preserve">Step 3 — Lossless Cleaning &amp; Binning (clean_mortgages.py -&gt; mortgages_2025_clean.csv): </w:t>
      </w:r>
      <w:r>
        <w:rPr>
          <w:rFonts w:ascii="Calibri" w:hAnsi="Calibri" w:cs="Calibri"/>
          <w:color w:val="1E293B"/>
          <w:sz w:val="18"/>
          <w:szCs w:val="18"/>
        </w:rPr>
        <w:t xml:space="preserve">Preserves all 1,508,076 rows and raw HMDA strings (NA, Exempt, blanks, zeroes) while adding parsed numeric fields, anomaly review_flags, eligibility flags, and 4 borrower bins: Standard Conforming DTI (&lt;30%, 30%-&lt;36%, 36%-43%, 44%-49%), CLTV (&lt;=80%, 80.01%-90%, 90.01%-95%, &gt;95%), Income (&lt;=$75k, $75k-$125k, $125k-$200k, &gt;$200k; HMDA income * $1,000), and Loan Amount (&lt;=$200k, $200k-$350k, $350k-$500k, &gt;$500k).</w:t>
      </w:r>
    </w:p>
    <w:p>
      <w:pPr>
        <w:ind w:left="180" w:hanging="180"/>
        <w:spacing w:before="16" w:after="20" w:line="210" w:lineRule="auto"/>
      </w:pPr>
      <w:r>
        <w:rPr>
          <w:rFonts w:ascii="Calibri" w:hAnsi="Calibri" w:cs="Calibri"/>
          <w:b/>
          <w:bCs/>
          <w:color w:val="B45309"/>
          <w:sz w:val="18"/>
          <w:szCs w:val="18"/>
        </w:rPr>
        <w:t xml:space="preserve">• </w:t>
      </w:r>
      <w:r>
        <w:rPr>
          <w:rFonts w:ascii="Calibri" w:hAnsi="Calibri" w:cs="Calibri"/>
          <w:b/>
          <w:bCs/>
          <w:color w:val="0F172A"/>
          <w:sz w:val="18"/>
          <w:szCs w:val="18"/>
        </w:rPr>
        <w:t xml:space="preserve">Step 4 &amp; 5 — Aggregation &amp; Dashboard (analyze_pricing.py &amp; build_dashboard.py -&gt; Submit/Project Audible Dashboard.html): </w:t>
      </w:r>
      <w:r>
        <w:rPr>
          <w:rFonts w:ascii="Calibri" w:hAnsi="Calibri" w:cs="Calibri"/>
          <w:color w:val="1E293B"/>
          <w:sz w:val="18"/>
          <w:szCs w:val="18"/>
        </w:rPr>
        <w:t xml:space="preserve">Evaluates the controlled baseline (in_main_comparison=1, all 4 borrower vars valid, conforming DTI &lt;50%: 511,199 loans — 173,033 Fintech across 14 lenders vs. 338,166 Bank across 655 lenders) across three measures: (1) Main: Rate-Spread Gap = 100 * (Median Spread_Fintech - Median Spread_Bank), where Rate Spread = APR - APOR (+16.4 bps: 0.213% vs. 0.049%); (2) Upfront Fee Ratio = 100 * (origination_charges / loan_amount) (+37.2 bps: 0.947% vs. 0.575%); (3) Contract Interest Rate (+12.5 bps: 6.625% vs. 6.500%). Robustness: lender-clustered bootstrap CI, Fintech vs. non-fintech nonbanks, ex-Rocket and ex-21st Mortgage, site-built only, no review flags, unadjusted sample.</w:t>
      </w:r>
    </w:p>
    <w:p>
      <w:pPr>
        <w:pBdr>
          <w:bottom w:val="single" w:sz="6" w:space="2" w:color="CBD5E1"/>
        </w:pBdr>
        <w:spacing w:before="80" w:after="30" w:line="215" w:lineRule="auto"/>
      </w:pPr>
      <w:r>
        <w:rPr>
          <w:rFonts w:ascii="Calibri" w:hAnsi="Calibri" w:cs="Calibri"/>
          <w:b/>
          <w:bCs/>
          <w:color w:val="0F172A"/>
          <w:sz w:val="20"/>
          <w:szCs w:val="20"/>
        </w:rPr>
        <w:t xml:space="preserve">3. Reproducibility, Parameters, and Assumptions</w:t>
      </w:r>
    </w:p>
    <w:p>
      <w:pPr>
        <w:ind w:left="180" w:hanging="180"/>
        <w:spacing w:before="16" w:after="20" w:line="210" w:lineRule="auto"/>
      </w:pPr>
      <w:r>
        <w:rPr>
          <w:rFonts w:ascii="Calibri" w:hAnsi="Calibri" w:cs="Calibri"/>
          <w:b/>
          <w:bCs/>
          <w:color w:val="B45309"/>
          <w:sz w:val="18"/>
          <w:szCs w:val="18"/>
        </w:rPr>
        <w:t xml:space="preserve">• </w:t>
      </w:r>
      <w:r>
        <w:rPr>
          <w:rFonts w:ascii="Calibri" w:hAnsi="Calibri" w:cs="Calibri"/>
          <w:b/>
          <w:bCs/>
          <w:color w:val="0F172A"/>
          <w:sz w:val="18"/>
          <w:szCs w:val="18"/>
        </w:rPr>
        <w:t xml:space="preserve">Execution &amp; Automated Tests (project_audible_data/README.md): </w:t>
      </w:r>
      <w:r>
        <w:rPr>
          <w:rFonts w:ascii="Calibri" w:hAnsi="Calibri" w:cs="Calibri"/>
          <w:color w:val="1E293B"/>
          <w:sz w:val="18"/>
          <w:szCs w:val="18"/>
        </w:rPr>
        <w:t xml:space="preserve">Run in order from project_audible_data/: python3 download_hmda.py -&gt; python3 classify_lenders_nyu.py -&gt; python3 clean_mortgages.py -&gt; python3 analyze_pricing.py -&gt; python3 build_dashboard.py -&gt; python3 build_position_memo.py. Verify with python3 -m unittest -v. Environment: Python 3.10+ (standard library for steps 1, 3, 4, 5; pandas and openpyxl for step 2). Large raw files are gitignored and re-downloaded by steps 1–2.</w:t>
      </w:r>
    </w:p>
    <w:p>
      <w:pPr>
        <w:ind w:left="180" w:hanging="180"/>
        <w:spacing w:before="16" w:after="20" w:line="210" w:lineRule="auto"/>
      </w:pPr>
      <w:r>
        <w:rPr>
          <w:rFonts w:ascii="Calibri" w:hAnsi="Calibri" w:cs="Calibri"/>
          <w:b/>
          <w:bCs/>
          <w:color w:val="B45309"/>
          <w:sz w:val="18"/>
          <w:szCs w:val="18"/>
        </w:rPr>
        <w:t xml:space="preserve">• </w:t>
      </w:r>
      <w:r>
        <w:rPr>
          <w:rFonts w:ascii="Calibri" w:hAnsi="Calibri" w:cs="Calibri"/>
          <w:b/>
          <w:bCs/>
          <w:color w:val="0F172A"/>
          <w:sz w:val="18"/>
          <w:szCs w:val="18"/>
        </w:rPr>
        <w:t xml:space="preserve">Parameters &amp; Assumptions: </w:t>
      </w:r>
      <w:r>
        <w:rPr>
          <w:rFonts w:ascii="Calibri" w:hAnsi="Calibri" w:cs="Calibri"/>
          <w:color w:val="1E293B"/>
          <w:sz w:val="18"/>
          <w:szCs w:val="18"/>
        </w:rPr>
        <w:t xml:space="preserve">(1) Minimum cell coverage: &gt;=100 loans/side, &gt;=3 Fintech lenders, &gt;=10 Bank lenders; (2) Materiality threshold: &gt;= +5.0 bps spread gap (&gt;= +20.0 bps for Tier-1 priority); (3) Conforming DTI cap: &lt;50% (Fannie/Freddie automated underwriting limit, covering 99.6% of valid-DTI loans); (4) Missing values (NA/Exempt/blank) are never imputed as 0, while 0.0 is kept as a valid observation; (5) Public HMDA omits borrower FICO scores and exact rate-lock dates.</w:t>
      </w:r>
    </w:p>
    <w:p>
      <w:pPr>
        <w:pBdr>
          <w:bottom w:val="single" w:sz="6" w:space="2" w:color="CBD5E1"/>
        </w:pBdr>
        <w:spacing w:before="80" w:after="30" w:line="215" w:lineRule="auto"/>
      </w:pPr>
      <w:r>
        <w:rPr>
          <w:rFonts w:ascii="Calibri" w:hAnsi="Calibri" w:cs="Calibri"/>
          <w:b/>
          <w:bCs/>
          <w:color w:val="0F172A"/>
          <w:sz w:val="20"/>
          <w:szCs w:val="20"/>
        </w:rPr>
        <w:t xml:space="preserve">4. Justification of Design Choices (Chosen vs. Tried and Rejected)</w:t>
      </w:r>
    </w:p>
    <w:p>
      <w:pPr>
        <w:ind w:left="180" w:hanging="180"/>
        <w:spacing w:before="16" w:after="20" w:line="210" w:lineRule="auto"/>
      </w:pPr>
      <w:r>
        <w:rPr>
          <w:rFonts w:ascii="Calibri" w:hAnsi="Calibri" w:cs="Calibri"/>
          <w:b/>
          <w:bCs/>
          <w:color w:val="B45309"/>
          <w:sz w:val="18"/>
          <w:szCs w:val="18"/>
        </w:rPr>
        <w:t xml:space="preserve">• </w:t>
      </w:r>
      <w:r>
        <w:rPr>
          <w:rFonts w:ascii="Calibri" w:hAnsi="Calibri" w:cs="Calibri"/>
          <w:b/>
          <w:bCs/>
          <w:color w:val="0F172A"/>
          <w:sz w:val="18"/>
          <w:szCs w:val="18"/>
        </w:rPr>
        <w:t xml:space="preserve">Stratified Medians &amp; IQR (p25–p75) Over Parametric Means/OLS: </w:t>
      </w:r>
      <w:r>
        <w:rPr>
          <w:rFonts w:ascii="Calibri" w:hAnsi="Calibri" w:cs="Calibri"/>
          <w:color w:val="1E293B"/>
          <w:sz w:val="18"/>
          <w:szCs w:val="18"/>
        </w:rPr>
        <w:t xml:space="preserve">Mortgage pricing and fee ratios have skewed tails and reporting outliers. Comparing non-parametric medians and IQRs across the 16 stratified DTI x CLTV cells (Fintech higher in all 16 of 16 cells, +10.3 to +31.6 bps) controls for observable risk without parametric distortion.</w:t>
      </w:r>
    </w:p>
    <w:p>
      <w:pPr>
        <w:ind w:left="180" w:hanging="180"/>
        <w:spacing w:before="16" w:after="20" w:line="210" w:lineRule="auto"/>
      </w:pPr>
      <w:r>
        <w:rPr>
          <w:rFonts w:ascii="Calibri" w:hAnsi="Calibri" w:cs="Calibri"/>
          <w:b/>
          <w:bCs/>
          <w:color w:val="B45309"/>
          <w:sz w:val="18"/>
          <w:szCs w:val="18"/>
        </w:rPr>
        <w:t xml:space="preserve">• </w:t>
      </w:r>
      <w:r>
        <w:rPr>
          <w:rFonts w:ascii="Calibri" w:hAnsi="Calibri" w:cs="Calibri"/>
          <w:b/>
          <w:bCs/>
          <w:color w:val="0F172A"/>
          <w:sz w:val="18"/>
          <w:szCs w:val="18"/>
        </w:rPr>
        <w:t xml:space="preserve">Tried &amp; Rejected #1 — Including DTI &gt;=50% and Incomplete Borrower Rows in the Baseline: </w:t>
      </w:r>
      <w:r>
        <w:rPr>
          <w:rFonts w:ascii="Calibri" w:hAnsi="Calibri" w:cs="Calibri"/>
          <w:color w:val="1E293B"/>
          <w:sz w:val="18"/>
          <w:szCs w:val="18"/>
        </w:rPr>
        <w:t xml:space="preserve">An initial unadjusted run (522,753 loans; +17.2 bps) included DTI &gt;=50% (&lt;0.4% of sample), which caused a misleading +197.3 bps single-dimension spike driven by 499 manufactured-housing loans from 21st Mortgage with missing CLTV (CLTV=NA) and left DTI &gt;=50% x CLTV &gt;80% cells with &lt;40 Fintech loans. Restricting the baseline to the 4-variable valid conforming sample (DTI &lt;50%, N = 511,199; +16.4 bps) removed CLTV=NA distortion and ensured 100% additive loan counts across all charts.</w:t>
      </w:r>
    </w:p>
    <w:p>
      <w:pPr>
        <w:ind w:left="180" w:hanging="180"/>
        <w:spacing w:before="16" w:after="20" w:line="210" w:lineRule="auto"/>
      </w:pPr>
      <w:r>
        <w:rPr>
          <w:rFonts w:ascii="Calibri" w:hAnsi="Calibri" w:cs="Calibri"/>
          <w:b/>
          <w:bCs/>
          <w:color w:val="B45309"/>
          <w:sz w:val="18"/>
          <w:szCs w:val="18"/>
        </w:rPr>
        <w:t xml:space="preserve">• </w:t>
      </w:r>
      <w:r>
        <w:rPr>
          <w:rFonts w:ascii="Calibri" w:hAnsi="Calibri" w:cs="Calibri"/>
          <w:b/>
          <w:bCs/>
          <w:color w:val="0F172A"/>
          <w:sz w:val="18"/>
          <w:szCs w:val="18"/>
        </w:rPr>
        <w:t xml:space="preserve">Tried &amp; Rejected #2 — Raw Dollar Origination Fees &amp; Broad Nonbank Comparator: </w:t>
      </w:r>
      <w:r>
        <w:rPr>
          <w:rFonts w:ascii="Calibri" w:hAnsi="Calibri" w:cs="Calibri"/>
          <w:color w:val="1E293B"/>
          <w:sz w:val="18"/>
          <w:szCs w:val="18"/>
        </w:rPr>
        <w:t xml:space="preserve">Raw dollar origination_charges were rejected because they confound fees with loan size ($3,000 is 1.50% on a $200k loan vs. 0.50% on a $600k loan); dividing by loan_amount normalizes upfront cost. Pooling non-NYU mortgage companies into the comparator was also rejected because many unlabelled nonbanks use digital origination; restricting the comparator to depository banks (TYPE 10/14/20) ensures a clean institutional benchmark. Because all 14 Fintech lenders are nonbanks, non-fintech nonbanks (TYPE 40/41) are reported separately as a robustness comparator to separate a fintech effect from a nonbank effect.</w:t>
      </w:r>
    </w:p>
    <w:sectPr>
      <w:pgSz w:w="12240" w:h="15840"/>
      <w:pgMar w:top="720" w:right="864" w:bottom="720" w:left="864" w:header="432" w:footer="432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80B04AF"/>
    <w:multiLevelType w:val="multilevel"/>
    <w:tmpl w:val="DDFA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4548EA"/>
    <w:multiLevelType w:val="multilevel"/>
    <w:tmpl w:val="F1EE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883297"/>
    <w:multiLevelType w:val="multilevel"/>
    <w:tmpl w:val="F65E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922429">
    <w:abstractNumId w:val="1"/>
  </w:num>
  <w:num w:numId="2" w16cid:durableId="1271819744">
    <w:abstractNumId w:val="0"/>
  </w:num>
  <w:num w:numId="3" w16cid:durableId="50713841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357"/>
    <w:rsid w:val="000941D4"/>
    <w:rsid w:val="000F69AA"/>
    <w:rsid w:val="0013085B"/>
    <w:rsid w:val="001D6DBD"/>
    <w:rsid w:val="002370B6"/>
    <w:rsid w:val="002D0985"/>
    <w:rsid w:val="00433C5E"/>
    <w:rsid w:val="00925C30"/>
    <w:rsid w:val="00974308"/>
    <w:rsid w:val="009F043C"/>
    <w:rsid w:val="00D728A5"/>
    <w:rsid w:val="00D95B1D"/>
    <w:rsid w:val="00F30357"/>
    <w:rsid w:val="00FD6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5F877B"/>
  <w15:chartTrackingRefBased/>
  <w15:docId w15:val="{4E5B8505-46CC-804F-8044-E5736BADA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0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0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303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3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3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3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35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03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3035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D6D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753</Words>
  <Characters>4294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Angga Lesmana</dc:creator>
  <cp:keywords/>
  <dc:description/>
  <cp:lastModifiedBy>Angga Lesmana</cp:lastModifiedBy>
  <cp:revision>5</cp:revision>
  <dcterms:created xsi:type="dcterms:W3CDTF">2026-10-02T16:53:00Z</dcterms:created>
  <dcterms:modified xsi:type="dcterms:W3CDTF">2026-10-22T17:14:00Z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44290776-7843-4B97-A1CD-4253E7C1ED50</vt:lpwstr>
  </property>
</Properties>
</file>