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spacing w:before="0" w:after="12" w:line="215" w:lineRule="auto"/>
      </w:pPr>
      <w:r>
        <w:rPr>
          <w:rFonts w:ascii="Calibri" w:hAnsi="Calibri" w:cs="Calibri"/>
          <w:b/>
          <w:bCs/>
          <w:color w:val="0F172A"/>
          <w:sz w:val="22"/>
          <w:szCs w:val="22"/>
        </w:rPr>
        <w:t xml:space="preserve">FINTECH 590 — PROJECT AUDIBLE: POSITION MEMO</w:t>
      </w:r>
    </w:p>
    <w:p>
      <w:pPr>
        <w:spacing w:before="0" w:after="6" w:line="205" w:lineRule="auto"/>
      </w:pPr>
      <w:r>
        <w:rPr>
          <w:rFonts w:ascii="Calibri" w:hAnsi="Calibri" w:cs="Calibri"/>
          <w:b/>
          <w:bCs/>
          <w:color w:val="B45309"/>
          <w:sz w:val="18"/>
          <w:szCs w:val="18"/>
        </w:rPr>
        <w:t xml:space="preserve">To: </w:t>
      </w:r>
      <w:r>
        <w:rPr>
          <w:rFonts w:ascii="Calibri" w:hAnsi="Calibri" w:cs="Calibri"/>
          <w:color w:val="334155"/>
          <w:sz w:val="18"/>
          <w:szCs w:val="18"/>
        </w:rPr>
        <w:t xml:space="preserve">American Fintech Council (AFC) leadership   |   </w:t>
      </w:r>
      <w:r>
        <w:rPr>
          <w:rFonts w:ascii="Calibri" w:hAnsi="Calibri" w:cs="Calibri"/>
          <w:b/>
          <w:bCs/>
          <w:color w:val="B45309"/>
          <w:sz w:val="18"/>
          <w:szCs w:val="18"/>
        </w:rPr>
        <w:t xml:space="preserve">From: </w:t>
      </w:r>
      <w:r>
        <w:rPr>
          <w:rFonts w:ascii="Calibri" w:hAnsi="Calibri" w:cs="Calibri"/>
          <w:color w:val="334155"/>
          <w:sz w:val="18"/>
          <w:szCs w:val="18"/>
        </w:rPr>
        <w:t xml:space="preserve">Angga Lesmana   |   </w:t>
      </w:r>
      <w:r>
        <w:rPr>
          <w:rFonts w:ascii="Calibri" w:hAnsi="Calibri" w:cs="Calibri"/>
          <w:b/>
          <w:bCs/>
          <w:color w:val="B45309"/>
          <w:sz w:val="18"/>
          <w:szCs w:val="18"/>
        </w:rPr>
        <w:t xml:space="preserve">Date: </w:t>
      </w:r>
      <w:r>
        <w:rPr>
          <w:rFonts w:ascii="Calibri" w:hAnsi="Calibri" w:cs="Calibri"/>
          <w:color w:val="334155"/>
          <w:sz w:val="18"/>
          <w:szCs w:val="18"/>
        </w:rPr>
        <w:t xml:space="preserve">October 26, 2026</w:t>
      </w:r>
    </w:p>
    <w:p>
      <w:pPr>
        <w:pBdr>
          <w:bottom w:val="single" w:sz="6" w:space="2" w:color="CBD5E1"/>
        </w:pBdr>
        <w:spacing w:before="0" w:after="40" w:line="205" w:lineRule="auto"/>
      </w:pPr>
      <w:r>
        <w:rPr>
          <w:rFonts w:ascii="Calibri" w:hAnsi="Calibri" w:cs="Calibri"/>
          <w:b/>
          <w:bCs/>
          <w:color w:val="B45309"/>
          <w:sz w:val="18"/>
          <w:szCs w:val="18"/>
        </w:rPr>
        <w:t xml:space="preserve">Decision: </w:t>
      </w:r>
      <w:r>
        <w:rPr>
          <w:rFonts w:ascii="Calibri" w:hAnsi="Calibri" w:cs="Calibri"/>
          <w:color w:val="334155"/>
          <w:sz w:val="18"/>
          <w:szCs w:val="18"/>
        </w:rPr>
        <w:t xml:space="preserve">Should AFC launch a mortgage-pricing review program for its members?</w:t>
      </w:r>
    </w:p>
    <w:p>
      <w:pPr>
        <w:pBdr>
          <w:bottom w:val="single" w:sz="6" w:space="2" w:color="CBD5E1"/>
        </w:pBdr>
        <w:spacing w:before="85" w:after="32" w:line="218" w:lineRule="auto"/>
      </w:pPr>
      <w:r>
        <w:rPr>
          <w:rFonts w:ascii="Calibri" w:hAnsi="Calibri" w:cs="Calibri"/>
          <w:b/>
          <w:bCs/>
          <w:color w:val="0F172A"/>
          <w:sz w:val="20"/>
          <w:szCs w:val="20"/>
        </w:rPr>
        <w:t xml:space="preserve">Recommendation: Yes — launch a member pricing review in Q1 2027, starting with low-down-payment and small loans</w:t>
      </w:r>
    </w:p>
    <w:p>
      <w:pPr>
        <w:spacing w:before="30" w:after="40" w:line="228" w:lineRule="auto"/>
      </w:pPr>
      <w:r>
        <w:rPr>
          <w:rFonts w:ascii="Calibri" w:hAnsi="Calibri" w:cs="Calibri"/>
          <w:color w:val="1E293B"/>
          <w:sz w:val="19"/>
          <w:szCs w:val="19"/>
        </w:rPr>
        <w:t xml:space="preserve">In 2025, borrowers paid more at fintech lenders than at banks for comparable observed loans. </w:t>
      </w:r>
      <w:r>
        <w:rPr>
          <w:rFonts w:ascii="Calibri" w:hAnsi="Calibri" w:cs="Calibri"/>
          <w:b/>
          <w:bCs/>
          <w:color w:val="1E293B"/>
          <w:sz w:val="19"/>
          <w:szCs w:val="19"/>
        </w:rPr>
        <w:t xml:space="preserve">The fintech median rate spread was +16.4 bps higher (0.213% vs. 0.049%), </w:t>
      </w:r>
      <w:r>
        <w:rPr>
          <w:rFonts w:ascii="Calibri" w:hAnsi="Calibri" w:cs="Calibri"/>
          <w:color w:val="1E293B"/>
          <w:sz w:val="19"/>
          <w:szCs w:val="19"/>
        </w:rPr>
        <w:t xml:space="preserve">and the gap appears in all 16 of 16 debt-to-income × loan-to-value groups and in all 20 of the 20 largest states. Under the decision rule agreed in our pitch, a broad and consistent premium calls for a review. AFC should invite members to explain the gap with their own credit-score, rate-lock and fee data, beginning with borrowers putting less than 5% down and loans of $200k or less, where the gap is largest. The review is diagnostic: a price gap alone does not justify telling any member to change prices.</w:t>
      </w:r>
    </w:p>
    <w:p>
      <w:pPr>
        <w:pBdr>
          <w:bottom w:val="single" w:sz="6" w:space="2" w:color="CBD5E1"/>
        </w:pBdr>
        <w:spacing w:before="85" w:after="32" w:line="218" w:lineRule="auto"/>
      </w:pPr>
      <w:r>
        <w:rPr>
          <w:rFonts w:ascii="Calibri" w:hAnsi="Calibri" w:cs="Calibri"/>
          <w:b/>
          <w:bCs/>
          <w:color w:val="0F172A"/>
          <w:sz w:val="20"/>
          <w:szCs w:val="20"/>
        </w:rPr>
        <w:t xml:space="preserve">What the data shows</w:t>
      </w:r>
    </w:p>
    <w:p>
      <w:pPr>
        <w:ind w:left="180" w:hanging="180"/>
        <w:spacing w:before="18" w:after="22" w:line="214" w:lineRule="auto"/>
      </w:pPr>
      <w:r>
        <w:rPr>
          <w:rFonts w:ascii="Calibri" w:hAnsi="Calibri" w:cs="Calibri"/>
          <w:b/>
          <w:bCs/>
          <w:color w:val="B45309"/>
          <w:sz w:val="19"/>
          <w:szCs w:val="19"/>
        </w:rPr>
        <w:t xml:space="preserve">• </w:t>
      </w:r>
      <w:r>
        <w:rPr>
          <w:rFonts w:ascii="Calibri" w:hAnsi="Calibri" w:cs="Calibri"/>
          <w:b/>
          <w:bCs/>
          <w:color w:val="0F172A"/>
          <w:sz w:val="19"/>
          <w:szCs w:val="19"/>
        </w:rPr>
        <w:t xml:space="preserve">The premium is real and not driven by one lender. </w:t>
      </w:r>
      <w:r>
        <w:rPr>
          <w:rFonts w:ascii="Calibri" w:hAnsi="Calibri" w:cs="Calibri"/>
          <w:color w:val="1E293B"/>
          <w:sz w:val="19"/>
          <w:szCs w:val="19"/>
        </w:rPr>
        <w:t xml:space="preserve">Sample: 2025 HMDA, conventional conforming 30-year fixed purchase loans; 173,033 loans from 14 fintech lenders (NYU Stern list) vs. 338,166 from 655 banks, with valid borrower data and DTI below 50% (lender-clustered 95% CI: +11.5 bps to +23.3 bps). 12 of 14 fintech lenders price above the bank median (11 by 5 bps or more). Rocket Mortgage is 47% of fintech loans, yet without it every risk cell still shows at least +13.5 bps.</w:t>
      </w:r>
    </w:p>
    <w:p>
      <w:pPr>
        <w:ind w:left="180" w:hanging="180"/>
        <w:spacing w:before="18" w:after="22" w:line="214" w:lineRule="auto"/>
      </w:pPr>
      <w:r>
        <w:rPr>
          <w:rFonts w:ascii="Calibri" w:hAnsi="Calibri" w:cs="Calibri"/>
          <w:b/>
          <w:bCs/>
          <w:color w:val="B45309"/>
          <w:sz w:val="19"/>
          <w:szCs w:val="19"/>
        </w:rPr>
        <w:t xml:space="preserve">• </w:t>
      </w:r>
      <w:r>
        <w:rPr>
          <w:rFonts w:ascii="Calibri" w:hAnsi="Calibri" w:cs="Calibri"/>
          <w:b/>
          <w:bCs/>
          <w:color w:val="0F172A"/>
          <w:sz w:val="19"/>
          <w:szCs w:val="19"/>
        </w:rPr>
        <w:t xml:space="preserve">Borrowers pay more in both rate and fees. </w:t>
      </w:r>
      <w:r>
        <w:rPr>
          <w:rFonts w:ascii="Calibri" w:hAnsi="Calibri" w:cs="Calibri"/>
          <w:color w:val="1E293B"/>
          <w:sz w:val="19"/>
          <w:szCs w:val="19"/>
        </w:rPr>
        <w:t xml:space="preserve">Median interest rate is +12.5 bps higher and median origination charges are +37.2 bps of the loan higher (0.947% vs. 0.575%), roughly $1,117 more upfront on a $300k loan. Higher fees are not buying a lower rate, so the gap is not a points-for-rate trade-off.</w:t>
      </w:r>
    </w:p>
    <w:p>
      <w:pPr>
        <w:ind w:left="180" w:hanging="180"/>
        <w:spacing w:before="18" w:after="22" w:line="214" w:lineRule="auto"/>
      </w:pPr>
      <w:r>
        <w:rPr>
          <w:rFonts w:ascii="Calibri" w:hAnsi="Calibri" w:cs="Calibri"/>
          <w:b/>
          <w:bCs/>
          <w:color w:val="B45309"/>
          <w:sz w:val="19"/>
          <w:szCs w:val="19"/>
        </w:rPr>
        <w:t xml:space="preserve">• </w:t>
      </w:r>
      <w:r>
        <w:rPr>
          <w:rFonts w:ascii="Calibri" w:hAnsi="Calibri" w:cs="Calibri"/>
          <w:b/>
          <w:bCs/>
          <w:color w:val="0F172A"/>
          <w:sz w:val="19"/>
          <w:szCs w:val="19"/>
        </w:rPr>
        <w:t xml:space="preserve">The gap concentrates on borrowers with the least room to absorb it. </w:t>
      </w:r>
      <w:r>
        <w:rPr>
          <w:rFonts w:ascii="Calibri" w:hAnsi="Calibri" w:cs="Calibri"/>
          <w:color w:val="1E293B"/>
          <w:sz w:val="19"/>
          <w:szCs w:val="19"/>
        </w:rPr>
        <w:t xml:space="preserve">See the table: borrowers with under 5% down face 2.6 times the gap of borrowers with 20% down, and for borrowers earning $75k or less the premium comes through fees (+55.0 bps) rather than the note rate (+1.0 bps).</w:t>
      </w:r>
    </w:p>
    <w:tbl>
      <w:tblPr>
        <w:tblW w:w="10512"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700"/>
        <w:gridCol w:w="1900"/>
        <w:gridCol w:w="1500"/>
        <w:gridCol w:w="1300"/>
        <w:gridCol w:w="2112"/>
      </w:tblGrid>
      <w:tr>
        <w:tc>
          <w:tcPr>
            <w:tcW w:w="3700" w:type="dxa"/>
            <w:shd w:val="clear" w:color="auto" w:fill="F1F5F9"/>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Borrower group (dashboard: Overview tab)</w:t>
            </w:r>
          </w:p>
        </w:tc>
        <w:tc>
          <w:tcPr>
            <w:tcW w:w="1900" w:type="dxa"/>
            <w:shd w:val="clear" w:color="auto" w:fill="F1F5F9"/>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Loans (Fintech / Bank)</w:t>
            </w:r>
          </w:p>
        </w:tc>
        <w:tc>
          <w:tcPr>
            <w:tcW w:w="1500" w:type="dxa"/>
            <w:shd w:val="clear" w:color="auto" w:fill="F1F5F9"/>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Rate-spread gap</w:t>
            </w:r>
          </w:p>
        </w:tc>
        <w:tc>
          <w:tcPr>
            <w:tcW w:w="1300" w:type="dxa"/>
            <w:shd w:val="clear" w:color="auto" w:fill="F1F5F9"/>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Rate gap</w:t>
            </w:r>
          </w:p>
        </w:tc>
        <w:tc>
          <w:tcPr>
            <w:tcW w:w="2112" w:type="dxa"/>
            <w:shd w:val="clear" w:color="auto" w:fill="F1F5F9"/>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Fee gap (% of loan)</w:t>
            </w:r>
          </w:p>
        </w:tc>
      </w:tr>
      <w:tr>
        <w:tc>
          <w:tcPr>
            <w:tcW w:w="3700" w:type="dxa"/>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All comparable loans (baseline)</w:t>
            </w:r>
          </w:p>
        </w:tc>
        <w:tc>
          <w:tcPr>
            <w:tcW w:w="19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173,033 / 338,166</w:t>
            </w:r>
          </w:p>
        </w:tc>
        <w:tc>
          <w:tcPr>
            <w:tcW w:w="15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+16.4 bps</w:t>
            </w:r>
          </w:p>
        </w:tc>
        <w:tc>
          <w:tcPr>
            <w:tcW w:w="13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+12.5 bps</w:t>
            </w:r>
          </w:p>
        </w:tc>
        <w:tc>
          <w:tcPr>
            <w:tcW w:w="2112"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+37.2 bps</w:t>
            </w:r>
          </w:p>
        </w:tc>
      </w:tr>
      <w:tr>
        <w:tc>
          <w:tcPr>
            <w:tcW w:w="3700" w:type="dxa"/>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Down payment 20%+ (CLTV ≤80%)</w:t>
            </w:r>
          </w:p>
        </w:tc>
        <w:tc>
          <w:tcPr>
            <w:tcW w:w="19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82,828 / 172,431</w:t>
            </w:r>
          </w:p>
        </w:tc>
        <w:tc>
          <w:tcPr>
            <w:tcW w:w="15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+11.7 bps</w:t>
            </w:r>
          </w:p>
        </w:tc>
        <w:tc>
          <w:tcPr>
            <w:tcW w:w="13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+7.5 bps</w:t>
            </w:r>
          </w:p>
        </w:tc>
        <w:tc>
          <w:tcPr>
            <w:tcW w:w="2112"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+34.2 bps</w:t>
            </w:r>
          </w:p>
        </w:tc>
      </w:tr>
      <w:tr>
        <w:tc>
          <w:tcPr>
            <w:tcW w:w="3700" w:type="dxa"/>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Down payment &lt;5% (CLTV &gt;95%)</w:t>
            </w:r>
          </w:p>
        </w:tc>
        <w:tc>
          <w:tcPr>
            <w:tcW w:w="19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23,780 / 52,292</w:t>
            </w:r>
          </w:p>
        </w:tc>
        <w:tc>
          <w:tcPr>
            <w:tcW w:w="15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+29.9 bps</w:t>
            </w:r>
          </w:p>
        </w:tc>
        <w:tc>
          <w:tcPr>
            <w:tcW w:w="13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+25.0 bps</w:t>
            </w:r>
          </w:p>
        </w:tc>
        <w:tc>
          <w:tcPr>
            <w:tcW w:w="2112"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+42.5 bps</w:t>
            </w:r>
          </w:p>
        </w:tc>
      </w:tr>
      <w:tr>
        <w:tc>
          <w:tcPr>
            <w:tcW w:w="3700" w:type="dxa"/>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Loan ≤$200k</w:t>
            </w:r>
          </w:p>
        </w:tc>
        <w:tc>
          <w:tcPr>
            <w:tcW w:w="19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31,810 / 82,550</w:t>
            </w:r>
          </w:p>
        </w:tc>
        <w:tc>
          <w:tcPr>
            <w:tcW w:w="15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+21.4 bps</w:t>
            </w:r>
          </w:p>
        </w:tc>
        <w:tc>
          <w:tcPr>
            <w:tcW w:w="13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+12.5 bps</w:t>
            </w:r>
          </w:p>
        </w:tc>
        <w:tc>
          <w:tcPr>
            <w:tcW w:w="2112"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+64.0 bps</w:t>
            </w:r>
          </w:p>
        </w:tc>
      </w:tr>
      <w:tr>
        <w:tc>
          <w:tcPr>
            <w:tcW w:w="3700" w:type="dxa"/>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Income ≤$75k</w:t>
            </w:r>
          </w:p>
        </w:tc>
        <w:tc>
          <w:tcPr>
            <w:tcW w:w="19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40,814 / 91,080</w:t>
            </w:r>
          </w:p>
        </w:tc>
        <w:tc>
          <w:tcPr>
            <w:tcW w:w="15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+17.7 bps</w:t>
            </w:r>
          </w:p>
        </w:tc>
        <w:tc>
          <w:tcPr>
            <w:tcW w:w="13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+1.0 bps</w:t>
            </w:r>
          </w:p>
        </w:tc>
        <w:tc>
          <w:tcPr>
            <w:tcW w:w="2112"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+55.0 bps</w:t>
            </w:r>
          </w:p>
        </w:tc>
      </w:tr>
      <w:tr>
        <w:tc>
          <w:tcPr>
            <w:tcW w:w="3700" w:type="dxa"/>
            <w:tcMar>
              <w:top w:w="32" w:type="dxa"/>
              <w:bottom w:w="32" w:type="dxa"/>
              <w:left w:w="68" w:type="dxa"/>
              <w:right w:w="68" w:type="dxa"/>
            </w:tcMar>
          </w:tcPr>
          <w:p>
            <w:pPr>
              <w:spacing w:before="8" w:after="8" w:line="198" w:lineRule="auto"/>
            </w:pPr>
            <w:r>
              <w:rPr>
                <w:rFonts w:ascii="Calibri" w:hAnsi="Calibri" w:cs="Calibri"/>
                <w:b/>
                <w:bCs/>
                <w:color w:val="0F172A"/>
                <w:sz w:val="17"/>
                <w:szCs w:val="17"/>
              </w:rPr>
              <w:t xml:space="preserve">Income &gt;$200k</w:t>
            </w:r>
          </w:p>
        </w:tc>
        <w:tc>
          <w:tcPr>
            <w:tcW w:w="19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34,400 / 62,234</w:t>
            </w:r>
          </w:p>
        </w:tc>
        <w:tc>
          <w:tcPr>
            <w:tcW w:w="15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+17.9 bps</w:t>
            </w:r>
          </w:p>
        </w:tc>
        <w:tc>
          <w:tcPr>
            <w:tcW w:w="1300"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+4.5 bps</w:t>
            </w:r>
          </w:p>
        </w:tc>
        <w:tc>
          <w:tcPr>
            <w:tcW w:w="2112" w:type="dxa"/>
            <w:tcMar>
              <w:top w:w="32" w:type="dxa"/>
              <w:bottom w:w="32" w:type="dxa"/>
              <w:left w:w="68" w:type="dxa"/>
              <w:right w:w="68" w:type="dxa"/>
            </w:tcMar>
          </w:tcPr>
          <w:p>
            <w:pPr>
              <w:spacing w:before="8" w:after="8" w:line="198" w:lineRule="auto"/>
            </w:pPr>
            <w:r>
              <w:rPr>
                <w:rFonts w:ascii="Calibri" w:hAnsi="Calibri" w:cs="Calibri"/>
                <w:color w:val="1E293B"/>
                <w:sz w:val="17"/>
                <w:szCs w:val="17"/>
              </w:rPr>
              <w:t xml:space="preserve">+19.3 bps</w:t>
            </w:r>
          </w:p>
        </w:tc>
      </w:tr>
    </w:tbl>
    <w:p>
      <w:pPr>
        <w:spacing w:before="20" w:after="20" w:line="200" w:lineRule="auto"/>
      </w:pPr>
      <w:r>
        <w:rPr>
          <w:rFonts w:ascii="Calibri" w:hAnsi="Calibri" w:cs="Calibri"/>
          <w:i/>
          <w:iCs/>
          <w:color w:val="475569"/>
          <w:sz w:val="16"/>
          <w:szCs w:val="16"/>
        </w:rPr>
        <w:t xml:space="preserve">Gap = Fintech median − Bank median. Rate spread = APR − APOR (benchmark rate on the lock date). Source: FFIEC 2025 HMDA snapshot; full detail in the dashboard and technical memo.</w:t>
      </w:r>
    </w:p>
    <w:p>
      <w:pPr>
        <w:pBdr>
          <w:bottom w:val="single" w:sz="6" w:space="2" w:color="CBD5E1"/>
        </w:pBdr>
        <w:spacing w:before="85" w:after="32" w:line="218" w:lineRule="auto"/>
      </w:pPr>
      <w:r>
        <w:rPr>
          <w:rFonts w:ascii="Calibri" w:hAnsi="Calibri" w:cs="Calibri"/>
          <w:b/>
          <w:bCs/>
          <w:color w:val="0F172A"/>
          <w:sz w:val="20"/>
          <w:szCs w:val="20"/>
        </w:rPr>
        <w:t xml:space="preserve">Why it matters to AFC, and what to do</w:t>
      </w:r>
    </w:p>
    <w:p>
      <w:pPr>
        <w:spacing w:before="30" w:after="40" w:line="228" w:lineRule="auto"/>
      </w:pPr>
      <w:r>
        <w:rPr>
          <w:rFonts w:ascii="Calibri" w:hAnsi="Calibri" w:cs="Calibri"/>
          <w:b/>
          <w:bCs/>
          <w:color w:val="B45309"/>
          <w:sz w:val="19"/>
          <w:szCs w:val="19"/>
        </w:rPr>
        <w:t xml:space="preserve">So what: </w:t>
      </w:r>
      <w:r>
        <w:rPr>
          <w:rFonts w:ascii="Calibri" w:hAnsi="Calibri" w:cs="Calibri"/>
          <w:color w:val="1E293B"/>
          <w:sz w:val="19"/>
          <w:szCs w:val="19"/>
        </w:rPr>
        <w:t xml:space="preserve">the largest premiums fall on borrowers with the least room to absorb extra cost: small down payments, small loans, lower incomes. The gap is visible to anyone with public HMDA data, including regulators and the press. Investigating it first lets AFC lead the answer instead of reacting to someone else’s.</w:t>
      </w:r>
    </w:p>
    <w:p>
      <w:pPr>
        <w:ind w:left="180" w:hanging="180"/>
        <w:spacing w:before="18" w:after="22" w:line="214" w:lineRule="auto"/>
      </w:pPr>
      <w:r>
        <w:rPr>
          <w:rFonts w:ascii="Calibri" w:hAnsi="Calibri" w:cs="Calibri"/>
          <w:b/>
          <w:bCs/>
          <w:color w:val="B45309"/>
          <w:sz w:val="19"/>
          <w:szCs w:val="19"/>
        </w:rPr>
        <w:t xml:space="preserve">• </w:t>
      </w:r>
      <w:r>
        <w:rPr>
          <w:rFonts w:ascii="Calibri" w:hAnsi="Calibri" w:cs="Calibri"/>
          <w:b/>
          <w:bCs/>
          <w:color w:val="0F172A"/>
          <w:sz w:val="19"/>
          <w:szCs w:val="19"/>
        </w:rPr>
        <w:t xml:space="preserve">Step 1 (Q1 2027): </w:t>
      </w:r>
      <w:r>
        <w:rPr>
          <w:rFonts w:ascii="Calibri" w:hAnsi="Calibri" w:cs="Calibri"/>
          <w:color w:val="1E293B"/>
          <w:sz w:val="19"/>
          <w:szCs w:val="19"/>
        </w:rPr>
        <w:t xml:space="preserve">invite participating members to join; publish this HMDA benchmark and the priority groups.</w:t>
      </w:r>
    </w:p>
    <w:p>
      <w:pPr>
        <w:ind w:left="180" w:hanging="180"/>
        <w:spacing w:before="18" w:after="22" w:line="214" w:lineRule="auto"/>
      </w:pPr>
      <w:r>
        <w:rPr>
          <w:rFonts w:ascii="Calibri" w:hAnsi="Calibri" w:cs="Calibri"/>
          <w:b/>
          <w:bCs/>
          <w:color w:val="B45309"/>
          <w:sz w:val="19"/>
          <w:szCs w:val="19"/>
        </w:rPr>
        <w:t xml:space="preserve">• </w:t>
      </w:r>
      <w:r>
        <w:rPr>
          <w:rFonts w:ascii="Calibri" w:hAnsi="Calibri" w:cs="Calibri"/>
          <w:b/>
          <w:bCs/>
          <w:color w:val="0F172A"/>
          <w:sz w:val="19"/>
          <w:szCs w:val="19"/>
        </w:rPr>
        <w:t xml:space="preserve">Step 2: </w:t>
      </w:r>
      <w:r>
        <w:rPr>
          <w:rFonts w:ascii="Calibri" w:hAnsi="Calibri" w:cs="Calibri"/>
          <w:color w:val="1E293B"/>
          <w:sz w:val="19"/>
          <w:szCs w:val="19"/>
        </w:rPr>
        <w:t xml:space="preserve">each member decomposes its gap in the CLTV &gt;95% and ≤$200k groups using credit score, LLPAs, rate-lock date, discount points and lender credits that public HMDA omits.</w:t>
      </w:r>
    </w:p>
    <w:p>
      <w:pPr>
        <w:ind w:left="180" w:hanging="180"/>
        <w:spacing w:before="18" w:after="22" w:line="214" w:lineRule="auto"/>
      </w:pPr>
      <w:r>
        <w:rPr>
          <w:rFonts w:ascii="Calibri" w:hAnsi="Calibri" w:cs="Calibri"/>
          <w:b/>
          <w:bCs/>
          <w:color w:val="B45309"/>
          <w:sz w:val="19"/>
          <w:szCs w:val="19"/>
        </w:rPr>
        <w:t xml:space="preserve">• </w:t>
      </w:r>
      <w:r>
        <w:rPr>
          <w:rFonts w:ascii="Calibri" w:hAnsi="Calibri" w:cs="Calibri"/>
          <w:b/>
          <w:bCs/>
          <w:color w:val="0F172A"/>
          <w:sz w:val="19"/>
          <w:szCs w:val="19"/>
        </w:rPr>
        <w:t xml:space="preserve">Step 3: </w:t>
      </w:r>
      <w:r>
        <w:rPr>
          <w:rFonts w:ascii="Calibri" w:hAnsi="Calibri" w:cs="Calibri"/>
          <w:color w:val="1E293B"/>
          <w:sz w:val="19"/>
          <w:szCs w:val="19"/>
        </w:rPr>
        <w:t xml:space="preserve">AFC reports, in aggregate, how much of the gap credit risk explains and how much it does not; members act only on the unexplained part. If credit risk explains most of it, AFC publishes that as evidence.</w:t>
      </w:r>
    </w:p>
    <w:p>
      <w:pPr>
        <w:pBdr>
          <w:bottom w:val="single" w:sz="6" w:space="2" w:color="CBD5E1"/>
        </w:pBdr>
        <w:spacing w:before="85" w:after="32" w:line="218" w:lineRule="auto"/>
      </w:pPr>
      <w:r>
        <w:rPr>
          <w:rFonts w:ascii="Calibri" w:hAnsi="Calibri" w:cs="Calibri"/>
          <w:b/>
          <w:bCs/>
          <w:color w:val="0F172A"/>
          <w:sz w:val="20"/>
          <w:szCs w:val="20"/>
        </w:rPr>
        <w:t xml:space="preserve">Strongest objection, biggest limitation, and why the position holds</w:t>
      </w:r>
    </w:p>
    <w:p>
      <w:pPr>
        <w:ind w:left="180" w:hanging="180"/>
        <w:spacing w:before="18" w:after="22" w:line="214" w:lineRule="auto"/>
      </w:pPr>
      <w:r>
        <w:rPr>
          <w:rFonts w:ascii="Calibri" w:hAnsi="Calibri" w:cs="Calibri"/>
          <w:b/>
          <w:bCs/>
          <w:color w:val="B45309"/>
          <w:sz w:val="19"/>
          <w:szCs w:val="19"/>
        </w:rPr>
        <w:t xml:space="preserve">• </w:t>
      </w:r>
      <w:r>
        <w:rPr>
          <w:rFonts w:ascii="Calibri" w:hAnsi="Calibri" w:cs="Calibri"/>
          <w:b/>
          <w:bCs/>
          <w:color w:val="0F172A"/>
          <w:sz w:val="19"/>
          <w:szCs w:val="19"/>
        </w:rPr>
        <w:t xml:space="preserve">Objection — "Fintech borrowers are riskier." </w:t>
      </w:r>
      <w:r>
        <w:rPr>
          <w:rFonts w:ascii="Calibri" w:hAnsi="Calibri" w:cs="Calibri"/>
          <w:color w:val="1E293B"/>
          <w:sz w:val="19"/>
          <w:szCs w:val="19"/>
        </w:rPr>
        <w:t xml:space="preserve">Public HMDA has no credit scores, and risk-based pricing is steepest at high loan-to-value, exactly where the gap is largest. But the gap appears within every DTI × CLTV group and in 198 of 200 groups split four ways (DTI, CLTV, income, loan size), and fees are higher too. Credit scores are what the review asks members to supply; the objection is a reason to run the review, not to skip it.</w:t>
      </w:r>
    </w:p>
    <w:p>
      <w:pPr>
        <w:ind w:left="180" w:hanging="180"/>
        <w:spacing w:before="18" w:after="22" w:line="214" w:lineRule="auto"/>
      </w:pPr>
      <w:r>
        <w:rPr>
          <w:rFonts w:ascii="Calibri" w:hAnsi="Calibri" w:cs="Calibri"/>
          <w:b/>
          <w:bCs/>
          <w:color w:val="B45309"/>
          <w:sz w:val="19"/>
          <w:szCs w:val="19"/>
        </w:rPr>
        <w:t xml:space="preserve">• </w:t>
      </w:r>
      <w:r>
        <w:rPr>
          <w:rFonts w:ascii="Calibri" w:hAnsi="Calibri" w:cs="Calibri"/>
          <w:b/>
          <w:bCs/>
          <w:color w:val="0F172A"/>
          <w:sz w:val="19"/>
          <w:szCs w:val="19"/>
        </w:rPr>
        <w:t xml:space="preserve">Limitation — who counts as "fintech." </w:t>
      </w:r>
      <w:r>
        <w:rPr>
          <w:rFonts w:ascii="Calibri" w:hAnsi="Calibri" w:cs="Calibri"/>
          <w:color w:val="1E293B"/>
          <w:sz w:val="19"/>
          <w:szCs w:val="19"/>
        </w:rPr>
        <w:t xml:space="preserve">We use the NYU Stern / Fuster et al. (2019) list of lenders with fully online applications, last updated in 2017; it matches 15 of its 18 lenders in 2025, all of them nonbanks, while the comparator is banks only. </w:t>
      </w:r>
    </w:p>
    <w:p>
      <w:pPr>
        <w:ind w:left="180" w:hanging="0"/>
        <w:spacing w:before="0" w:after="30" w:line="228" w:lineRule="auto"/>
      </w:pPr>
      <w:r>
        <w:rPr>
          <w:rFonts w:ascii="Calibri" w:hAnsi="Calibri" w:cs="Calibri"/>
          <w:b/>
          <w:bCs/>
          <w:color w:val="1E293B"/>
          <w:sz w:val="19"/>
          <w:szCs w:val="19"/>
        </w:rPr>
        <w:t xml:space="preserve"/>
      </w:r>
      <w:r>
        <w:rPr>
          <w:rFonts w:ascii="Calibri" w:hAnsi="Calibri" w:cs="Calibri"/>
          <w:b/>
          <w:bCs/>
          <w:color w:val="1E293B"/>
          <w:sz w:val="19"/>
          <w:szCs w:val="19"/>
        </w:rPr>
        <w:t xml:space="preserve">Against non-fintech independent mortgage banks (600 lenders, 808,681 loans, same filters), the Fintech gap is -1.2 bps. </w:t>
      </w:r>
      <w:r>
        <w:rPr>
          <w:rFonts w:ascii="Calibri" w:hAnsi="Calibri" w:cs="Calibri"/>
          <w:color w:val="1E293B"/>
          <w:sz w:val="19"/>
          <w:szCs w:val="19"/>
        </w:rPr>
        <w:t xml:space="preserve">Against other nonbanks the premium largely disappears, so the gap is mainly a nonbank effect. Borrowers still pay more than at banks, so the review stands, but members should be benchmarked against nonbank peers.</w:t>
      </w:r>
    </w:p>
    <w:p>
      <w:pPr>
        <w:ind w:left="180" w:hanging="180"/>
        <w:spacing w:before="18" w:after="22" w:line="214" w:lineRule="auto"/>
      </w:pPr>
      <w:r>
        <w:rPr>
          <w:rFonts w:ascii="Calibri" w:hAnsi="Calibri" w:cs="Calibri"/>
          <w:b/>
          <w:bCs/>
          <w:color w:val="B45309"/>
          <w:sz w:val="19"/>
          <w:szCs w:val="19"/>
        </w:rPr>
        <w:t xml:space="preserve">• </w:t>
      </w:r>
      <w:r>
        <w:rPr>
          <w:rFonts w:ascii="Calibri" w:hAnsi="Calibri" w:cs="Calibri"/>
          <w:b/>
          <w:bCs/>
          <w:color w:val="0F172A"/>
          <w:sz w:val="19"/>
          <w:szCs w:val="19"/>
        </w:rPr>
        <w:t xml:space="preserve">Why the recommendation still holds: </w:t>
      </w:r>
      <w:r>
        <w:rPr>
          <w:rFonts w:ascii="Calibri" w:hAnsi="Calibri" w:cs="Calibri"/>
          <w:color w:val="1E293B"/>
          <w:sz w:val="19"/>
          <w:szCs w:val="19"/>
        </w:rPr>
        <w:t xml:space="preserve">the result survives every robustness check run (excluding Rocket, site-built homes only, flagged loans removed, unadjusted sample), and 3 fintech lenders (American Internet Mortgage, Inc., Acrisure Mortgage, LLC, loanDepot.com LLC) price within 5 bps of the bank median or below it, so bank-level pricing is achievable online. The recommended action is low-cost, voluntary and diagnostic. HMDA describes 2025 pricing, not current offers.</w:t>
      </w:r>
    </w:p>
    <w:sectPr>
      <w:pgSz w:w="12240" w:h="15840"/>
      <w:pgMar w:top="720" w:right="864" w:bottom="720" w:left="864" w:header="432" w:footer="43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0B04AF"/>
    <w:multiLevelType w:val="multilevel"/>
    <w:tmpl w:val="DDF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548EA"/>
    <w:multiLevelType w:val="multilevel"/>
    <w:tmpl w:val="F1E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83297"/>
    <w:multiLevelType w:val="multilevel"/>
    <w:tmpl w:val="F65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22429">
    <w:abstractNumId w:val="1"/>
  </w:num>
  <w:num w:numId="2" w16cid:durableId="1271819744">
    <w:abstractNumId w:val="0"/>
  </w:num>
  <w:num w:numId="3" w16cid:durableId="50713841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357"/>
    <w:rsid w:val="000941D4"/>
    <w:rsid w:val="000F69AA"/>
    <w:rsid w:val="0013085B"/>
    <w:rsid w:val="001D6DBD"/>
    <w:rsid w:val="002370B6"/>
    <w:rsid w:val="002D0985"/>
    <w:rsid w:val="00433C5E"/>
    <w:rsid w:val="00925C30"/>
    <w:rsid w:val="00974308"/>
    <w:rsid w:val="009F043C"/>
    <w:rsid w:val="00D728A5"/>
    <w:rsid w:val="00D95B1D"/>
    <w:rsid w:val="00F30357"/>
    <w:rsid w:val="00FD6D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B5F877B"/>
  <w15:chartTrackingRefBased/>
  <w15:docId w15:val="{4E5B8505-46CC-804F-8044-E5736BAD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0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0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0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0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0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0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357"/>
    <w:rPr>
      <w:rFonts w:eastAsiaTheme="majorEastAsia" w:cstheme="majorBidi"/>
      <w:color w:val="272727" w:themeColor="text1" w:themeTint="D8"/>
    </w:rPr>
  </w:style>
  <w:style w:type="paragraph" w:styleId="Title">
    <w:name w:val="Title"/>
    <w:basedOn w:val="Normal"/>
    <w:next w:val="Normal"/>
    <w:link w:val="TitleChar"/>
    <w:uiPriority w:val="10"/>
    <w:qFormat/>
    <w:rsid w:val="00F30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357"/>
    <w:pPr>
      <w:spacing w:before="160"/>
      <w:jc w:val="center"/>
    </w:pPr>
    <w:rPr>
      <w:i/>
      <w:iCs/>
      <w:color w:val="404040" w:themeColor="text1" w:themeTint="BF"/>
    </w:rPr>
  </w:style>
  <w:style w:type="character" w:customStyle="1" w:styleId="QuoteChar">
    <w:name w:val="Quote Char"/>
    <w:basedOn w:val="DefaultParagraphFont"/>
    <w:link w:val="Quote"/>
    <w:uiPriority w:val="29"/>
    <w:rsid w:val="00F30357"/>
    <w:rPr>
      <w:i/>
      <w:iCs/>
      <w:color w:val="404040" w:themeColor="text1" w:themeTint="BF"/>
    </w:rPr>
  </w:style>
  <w:style w:type="paragraph" w:styleId="ListParagraph">
    <w:name w:val="List Paragraph"/>
    <w:basedOn w:val="Normal"/>
    <w:uiPriority w:val="34"/>
    <w:qFormat/>
    <w:rsid w:val="00F30357"/>
    <w:pPr>
      <w:ind w:left="720"/>
      <w:contextualSpacing/>
    </w:pPr>
  </w:style>
  <w:style w:type="character" w:styleId="IntenseEmphasis">
    <w:name w:val="Intense Emphasis"/>
    <w:basedOn w:val="DefaultParagraphFont"/>
    <w:uiPriority w:val="21"/>
    <w:qFormat/>
    <w:rsid w:val="00F30357"/>
    <w:rPr>
      <w:i/>
      <w:iCs/>
      <w:color w:val="0F4761" w:themeColor="accent1" w:themeShade="BF"/>
    </w:rPr>
  </w:style>
  <w:style w:type="paragraph" w:styleId="IntenseQuote">
    <w:name w:val="Intense Quote"/>
    <w:basedOn w:val="Normal"/>
    <w:next w:val="Normal"/>
    <w:link w:val="IntenseQuoteChar"/>
    <w:uiPriority w:val="30"/>
    <w:qFormat/>
    <w:rsid w:val="00F30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357"/>
    <w:rPr>
      <w:i/>
      <w:iCs/>
      <w:color w:val="0F4761" w:themeColor="accent1" w:themeShade="BF"/>
    </w:rPr>
  </w:style>
  <w:style w:type="character" w:styleId="IntenseReference">
    <w:name w:val="Intense Reference"/>
    <w:basedOn w:val="DefaultParagraphFont"/>
    <w:uiPriority w:val="32"/>
    <w:qFormat/>
    <w:rsid w:val="00F30357"/>
    <w:rPr>
      <w:b/>
      <w:bCs/>
      <w:smallCaps/>
      <w:color w:val="0F4761" w:themeColor="accent1" w:themeShade="BF"/>
      <w:spacing w:val="5"/>
    </w:rPr>
  </w:style>
  <w:style w:type="paragraph" w:styleId="NormalWeb">
    <w:name w:val="Normal (Web)"/>
    <w:basedOn w:val="Normal"/>
    <w:uiPriority w:val="99"/>
    <w:semiHidden/>
    <w:unhideWhenUsed/>
    <w:rsid w:val="00F303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0357"/>
    <w:rPr>
      <w:b/>
      <w:bCs/>
    </w:rPr>
  </w:style>
  <w:style w:type="character" w:styleId="HTMLCode">
    <w:name w:val="HTML Code"/>
    <w:basedOn w:val="DefaultParagraphFont"/>
    <w:uiPriority w:val="99"/>
    <w:semiHidden/>
    <w:unhideWhenUsed/>
    <w:rsid w:val="001D6D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Angga Lesmana</dc:creator>
  <cp:keywords/>
  <dc:description/>
  <cp:lastModifiedBy>Angga Lesmana</cp:lastModifiedBy>
  <cp:revision>5</cp:revision>
  <dcterms:created xsi:type="dcterms:W3CDTF">2026-10-02T16:53:00Z</dcterms:created>
  <dcterms:modified xsi:type="dcterms:W3CDTF">2026-10-22T17:14:00Z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44290776-7843-4B97-A1CD-4253E7C1ED50</vt:lpwstr>
  </property>
</Properties>
</file>