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spacing w:before="0" w:after="12" w:line="215" w:lineRule="auto"/>
      </w:pPr>
      <w:r>
        <w:rPr>
          <w:rFonts w:ascii="Calibri" w:hAnsi="Calibri" w:cs="Calibri"/>
          <w:b/>
          <w:bCs/>
          <w:color w:val="0F172A"/>
          <w:sz w:val="22"/>
          <w:szCs w:val="22"/>
        </w:rPr>
        <w:t xml:space="preserve">FINTECH 590 — PROJECT AUDIBLE: TECHNICAL MEMO</w:t>
      </w:r>
    </w:p>
    <w:p>
      <w:pPr>
        <w:pBdr>
          <w:bottom w:val="single" w:sz="6" w:space="2" w:color="CBD5E1"/>
        </w:pBdr>
        <w:spacing w:before="0" w:after="38" w:line="205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Topic: </w:t>
      </w:r>
      <w:r>
        <w:rPr>
          <w:rFonts w:ascii="Calibri" w:hAnsi="Calibri" w:cs="Calibri"/>
          <w:color w:val="334155"/>
          <w:sz w:val="18"/>
          <w:szCs w:val="18"/>
        </w:rPr>
        <w:t xml:space="preserve">Fintech vs. Bank Mortgage Pricing   |   </w:t>
      </w: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Audience: </w:t>
      </w:r>
      <w:r>
        <w:rPr>
          <w:rFonts w:ascii="Calibri" w:hAnsi="Calibri" w:cs="Calibri"/>
          <w:color w:val="334155"/>
          <w:sz w:val="18"/>
          <w:szCs w:val="18"/>
        </w:rPr>
        <w:t xml:space="preserve">American Fintech Council (AFC)   |   </w:t>
      </w: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Date: </w:t>
      </w:r>
      <w:r>
        <w:rPr>
          <w:rFonts w:ascii="Calibri" w:hAnsi="Calibri" w:cs="Calibri"/>
          <w:color w:val="334155"/>
          <w:sz w:val="18"/>
          <w:szCs w:val="18"/>
        </w:rPr>
        <w:t xml:space="preserve">October 26, 2026</w:t>
      </w:r>
    </w:p>
    <w:p>
      <w:pPr>
        <w:pBdr>
          <w:bottom w:val="single" w:sz="6" w:space="2" w:color="CBD5E1"/>
        </w:pBdr>
        <w:spacing w:before="85" w:after="32" w:line="218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1. Data Sources and Provenance</w:t>
      </w:r>
    </w:p>
    <w:tbl>
      <w:tblPr>
        <w:tblW w:w="1050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</w:tblPr>
      <w:tblGrid>
        <w:gridCol w:w="2400"/>
        <w:gridCol w:w="2200"/>
        <w:gridCol w:w="5900"/>
      </w:tblGrid>
      <w:tr>
        <w:tc>
          <w:tcPr>
            <w:tcW w:w="2400" w:type="dxa"/>
            <w:shd w:val="clear" w:color="auto" w:fill="F1F5F9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Source Dataset</w:t>
            </w:r>
          </w:p>
        </w:tc>
        <w:tc>
          <w:tcPr>
            <w:tcW w:w="2200" w:type="dxa"/>
            <w:shd w:val="clear" w:color="auto" w:fill="F1F5F9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Version &amp; Access Date</w:t>
            </w:r>
          </w:p>
        </w:tc>
        <w:tc>
          <w:tcPr>
            <w:tcW w:w="5900" w:type="dxa"/>
            <w:shd w:val="clear" w:color="auto" w:fill="F1F5F9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Retrieval &amp; Verification</w:t>
            </w:r>
          </w:p>
        </w:tc>
      </w:tr>
      <w:tr>
        <w:tc>
          <w:tcPr>
            <w:tcW w:w="2400" w:type="dxa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FFIEC / CFPB 2025 HMDA Static Snapshot (LAR &amp; TS)</w:t>
            </w:r>
          </w:p>
        </w:tc>
        <w:tc>
          <w:tcPr>
            <w:tcW w:w="2200" w:type="dxa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2025 Snapshot (Jun 23, 2026);
Accessed Oct 22, 2026</w:t>
            </w:r>
          </w:p>
        </w:tc>
        <w:tc>
          <w:tcPr>
            <w:tcW w:w="5900" w:type="dxa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Downloaded via download_hmda.py from files.ffiec.cfpb.gov (2025_public_lar_csv.zip, SHA-256: 9b25c05d...; 2025_public_ts_csv.zip, SHA-256: 6d4157af...). Static archive used instead of live API.</w:t>
            </w:r>
          </w:p>
        </w:tc>
      </w:tr>
      <w:tr>
        <w:tc>
          <w:tcPr>
            <w:tcW w:w="2400" w:type="dxa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NYU Stern Fintech List (Fuster et al., 2019)</w:t>
            </w:r>
          </w:p>
        </w:tc>
        <w:tc>
          <w:tcPr>
            <w:tcW w:w="2200" w:type="dxa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Cumulative 2017 list;
Accessed Oct 22, 2026</w:t>
            </w:r>
          </w:p>
        </w:tc>
        <w:tc>
          <w:tcPr>
            <w:tcW w:w="5900" w:type="dxa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Pulled from pages.stern.nyu.edu (fintech_classification.xlsx, SHA-256: bc59ce16...). Identifies 18 online-origination lenders by RSSD ID (15 active in 2025 HMDA; 14 in controlled baseline).</w:t>
            </w:r>
          </w:p>
        </w:tc>
      </w:tr>
      <w:tr>
        <w:tc>
          <w:tcPr>
            <w:tcW w:w="2400" w:type="dxa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Philadelphia Fed HMDA Lender File (2018–2025)</w:t>
            </w:r>
          </w:p>
        </w:tc>
        <w:tc>
          <w:tcPr>
            <w:tcW w:w="2200" w:type="dxa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Version Jul 15, 2026;
Accessed Oct 22, 2026</w:t>
            </w:r>
          </w:p>
        </w:tc>
        <w:tc>
          <w:tcPr>
            <w:tcW w:w="5900" w:type="dxa"/>
            <w:tcMar>
              <w:top w:w="32" w:type="dxa"/>
              <w:bottom w:w="32" w:type="dxa"/>
              <w:left w:w="68" w:type="dxa"/>
              <w:right w:w="68" w:type="dxa"/>
            </w:tcMar>
          </w:tcPr>
          <w:p>
            <w:pPr>
              <w:spacing w:before="8" w:after="8" w:line="198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Fetched via classify_lenders_nyu.py from philadelphiafed.org (SHA-256: a7e72d98...). Bridges 2025 HMDA LEIs to Federal Reserve RSSD IDs and institution TYPE codes (banks 10/14/20; nonbanks 40/41).</w:t>
            </w:r>
          </w:p>
        </w:tc>
      </w:tr>
    </w:tbl>
    <w:p>
      <w:pPr>
        <w:pBdr>
          <w:bottom w:val="single" w:sz="6" w:space="2" w:color="CBD5E1"/>
        </w:pBdr>
        <w:spacing w:before="85" w:after="32" w:line="218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2. Data Pipeline, Transformations, and Key Measures</w:t>
      </w:r>
    </w:p>
    <w:p>
      <w:pPr>
        <w:ind w:left="180" w:hanging="180"/>
        <w:spacing w:before="18" w:after="22" w:line="214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Step 1 — HMDA Extract (download_hmda.py -&gt; mortgages_2025.csv, 1,508,076 loans): </w:t>
      </w:r>
      <w:r>
        <w:rPr>
          <w:rFonts w:ascii="Calibri" w:hAnsi="Calibri" w:cs="Calibri"/>
          <w:color w:val="1E293B"/>
          <w:sz w:val="18"/>
          <w:szCs w:val="18"/>
        </w:rPr>
        <w:t xml:space="preserve">Streams the LAR archive, joins lender names on LEI, and filters to originated (action_taken=1), conventional (loan_type=1), first-lien (lien_status=1), owner-occupied (occupancy_type=1), home-purchase (loan_purpose=1), conforming (C), 30-year fixed-rate (loan_term=360, intro_rate_period=NA) loans.</w:t>
      </w:r>
    </w:p>
    <w:p>
      <w:pPr>
        <w:ind w:left="180" w:hanging="180"/>
        <w:spacing w:before="18" w:after="22" w:line="214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Step 2 — Lender Classification (classify_lenders_nyu.py -&gt; mortgages_2025_classified.csv): </w:t>
      </w:r>
      <w:r>
        <w:rPr>
          <w:rFonts w:ascii="Calibri" w:hAnsi="Calibri" w:cs="Calibri"/>
          <w:color w:val="1E293B"/>
          <w:sz w:val="18"/>
          <w:szCs w:val="18"/>
        </w:rPr>
        <w:t xml:space="preserve">Maps LEI -&gt; RSSD ID and TYPE via the Philadelphia Fed file. Tags NYU lenders as Fintech (175,928 loans; 15 lenders) and non-NYU depository banks (TYPE 10/14/20) as the Bank comparator (347,634 loans; 662 lenders). Non-fintech independent mortgage banks (TYPE 40/41) are tracked separately as an alternative comparator.</w:t>
      </w:r>
    </w:p>
    <w:p>
      <w:pPr>
        <w:ind w:left="180" w:hanging="180"/>
        <w:spacing w:before="18" w:after="22" w:line="214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Step 3 — Lossless Cleaning &amp; Binning (clean_mortgages.py -&gt; mortgages_2025_clean.csv): </w:t>
      </w:r>
      <w:r>
        <w:rPr>
          <w:rFonts w:ascii="Calibri" w:hAnsi="Calibri" w:cs="Calibri"/>
          <w:color w:val="1E293B"/>
          <w:sz w:val="18"/>
          <w:szCs w:val="18"/>
        </w:rPr>
        <w:t xml:space="preserve">Retains all 1,508,076 rows and raw strings (NA, Exempt, zeroes) while adding parsed numeric fields, anomaly flags, and 4 risk bins: Standard DTI (&lt;30%, 30%-&lt;36%, 36%-43%, 44%-49%), CLTV (&lt;=80%, 80.01%-90%, 90.01%-95%, &gt;95%), Income (&lt;=$75k, $75k-$125k, $125k-$200k, &gt;$200k), and Loan Size (&lt;=$200k, $200k-$350k, $350k-$500k, &gt;$500k).</w:t>
      </w:r>
    </w:p>
    <w:p>
      <w:pPr>
        <w:ind w:left="180" w:hanging="180"/>
        <w:spacing w:before="18" w:after="22" w:line="214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Step 4 &amp; 5 — Pricing Metrics &amp; Dashboard (analyze_pricing.py &amp; build_dashboard.py): </w:t>
      </w:r>
      <w:r>
        <w:rPr>
          <w:rFonts w:ascii="Calibri" w:hAnsi="Calibri" w:cs="Calibri"/>
          <w:color w:val="1E293B"/>
          <w:sz w:val="18"/>
          <w:szCs w:val="18"/>
        </w:rPr>
        <w:t xml:space="preserve">Evaluates the controlled baseline (valid DTI, CLTV, income, loan size, and DTI &lt;50%: 511,199 loans — 173,033 Fintech vs. 338,166 Bank) across three metrics: (1) Main: Rate-Spread Gap = 100 * (Median Spread_Fintech - Median Spread_Bank) (+16.4 bps: 0.213% vs. 0.049%); (2) Upfront Fee Ratio = 100 * (origination_charges / loan_amount) (+37.2 bps: 0.947% vs. 0.575%); (3) Interest Rate (+12.5 bps: 6.625% vs. 6.500%).</w:t>
      </w:r>
    </w:p>
    <w:p>
      <w:pPr>
        <w:pBdr>
          <w:bottom w:val="single" w:sz="6" w:space="2" w:color="CBD5E1"/>
        </w:pBdr>
        <w:spacing w:before="85" w:after="32" w:line="218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3. Reproducibility, Parameters, and Assumptions</w:t>
      </w:r>
    </w:p>
    <w:p>
      <w:pPr>
        <w:ind w:left="180" w:hanging="180"/>
        <w:spacing w:before="18" w:after="22" w:line="214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Pipeline Execution (project_audible_data/README.md): </w:t>
      </w:r>
      <w:r>
        <w:rPr>
          <w:rFonts w:ascii="Calibri" w:hAnsi="Calibri" w:cs="Calibri"/>
          <w:color w:val="1E293B"/>
          <w:sz w:val="18"/>
          <w:szCs w:val="18"/>
        </w:rPr>
        <w:t xml:space="preserve">Run in sequence from project_audible_data/: python3 download_hmda.py -&gt; classify_lenders_nyu.py -&gt; clean_mortgages.py -&gt; analyze_pricing.py -&gt; build_dashboard.py -&gt; build_position_memo.py. Run tests via python3 -m unittest -v (Python 3.10+ standard library; pandas and openpyxl required only for Step 2).</w:t>
      </w:r>
    </w:p>
    <w:p>
      <w:pPr>
        <w:ind w:left="180" w:hanging="180"/>
        <w:spacing w:before="18" w:after="22" w:line="214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Core Parameters &amp; Assumptions: </w:t>
      </w:r>
      <w:r>
        <w:rPr>
          <w:rFonts w:ascii="Calibri" w:hAnsi="Calibri" w:cs="Calibri"/>
          <w:color w:val="1E293B"/>
          <w:sz w:val="18"/>
          <w:szCs w:val="18"/>
        </w:rPr>
        <w:t xml:space="preserve">(1) Cell coverage threshold: &gt;=100 loans/side, &gt;=3 Fintech lenders, &gt;=10 Bank lenders; (2) Materiality threshold: &gt;= +5.0 bps gap; (3) Conforming DTI cap: &lt;50% (Fannie/Freddie automated limit, covering 99.6% of valid-DTI loans); (4) Missing values (NA/Exempt) are never imputed as zero, while $0 fees are kept as valid; (5) Public HMDA omits credit scores (FICO) and rate-lock dates.</w:t>
      </w:r>
    </w:p>
    <w:p>
      <w:pPr>
        <w:pBdr>
          <w:bottom w:val="single" w:sz="6" w:space="2" w:color="CBD5E1"/>
        </w:pBdr>
        <w:spacing w:before="85" w:after="32" w:line="218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4. Justification of Design Choices (Chosen vs. Tried and Rejected)</w:t>
      </w:r>
    </w:p>
    <w:p>
      <w:pPr>
        <w:ind w:left="180" w:hanging="180"/>
        <w:spacing w:before="18" w:after="22" w:line="214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Stratified Medians &amp; IQR (p25–p75) Over Means/OLS: </w:t>
      </w:r>
      <w:r>
        <w:rPr>
          <w:rFonts w:ascii="Calibri" w:hAnsi="Calibri" w:cs="Calibri"/>
          <w:color w:val="1E293B"/>
          <w:sz w:val="18"/>
          <w:szCs w:val="18"/>
        </w:rPr>
        <w:t xml:space="preserve">Mortgage rate spreads and fee ratios exhibit skewed tails. Comparing non-parametric medians and IQRs across the 16 DTI x CLTV cells (Fintech higher in all 16 of 16 cells, +10.3 to +31.6 bps) controls for observable risk without outlier distortion.</w:t>
      </w:r>
    </w:p>
    <w:p>
      <w:pPr>
        <w:ind w:left="180" w:hanging="180"/>
        <w:spacing w:before="18" w:after="22" w:line="214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Rejected #1 — Including DTI &gt;=50% and Incomplete Borrower Rows in Baseline: </w:t>
      </w:r>
      <w:r>
        <w:rPr>
          <w:rFonts w:ascii="Calibri" w:hAnsi="Calibri" w:cs="Calibri"/>
          <w:color w:val="1E293B"/>
          <w:sz w:val="18"/>
          <w:szCs w:val="18"/>
        </w:rPr>
        <w:t xml:space="preserve">An initial unadjusted run (+17.2 bps) included DTI &gt;=50% (&lt;0.4% of loans), producing a misleading +197.3 bps spike driven by 499 manufactured-housing loans from 21st Mortgage with missing CLTV (CLTV=NA). Restricting the baseline to complete 4-variable rows with DTI &lt;50% (511,199 loans; +16.4 bps) eliminated missing-CLTV distortion and made all dashboard views 100% additive.</w:t>
      </w:r>
    </w:p>
    <w:p>
      <w:pPr>
        <w:ind w:left="180" w:hanging="180"/>
        <w:spacing w:before="18" w:after="22" w:line="214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Rejected #2 — Raw Dollar Fees &amp; Pooled Nonbank Benchmark: </w:t>
      </w:r>
      <w:r>
        <w:rPr>
          <w:rFonts w:ascii="Calibri" w:hAnsi="Calibri" w:cs="Calibri"/>
          <w:color w:val="1E293B"/>
          <w:sz w:val="18"/>
          <w:szCs w:val="18"/>
        </w:rPr>
        <w:t xml:space="preserve">Raw dollar origination_charges were rejected because they scale with loan size; dividing by loan_amount standardizes upfront cost. Pooling non-NYU mortgage companies into the main benchmark was also rejected because many unlisted nonbanks lend online; we use depository banks (TYPE 10/14/20) as the main benchmark and test non-fintech nonbanks (TYPE 40/41; -1.2 bps gap) separately.</w:t>
      </w:r>
    </w:p>
    <w:sectPr>
      <w:pgSz w:w="12240" w:h="15840"/>
      <w:pgMar w:top="720" w:right="864" w:bottom="720" w:left="864" w:header="432" w:footer="432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0B04AF"/>
    <w:multiLevelType w:val="multilevel"/>
    <w:tmpl w:val="DDF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4548EA"/>
    <w:multiLevelType w:val="multilevel"/>
    <w:tmpl w:val="F1EEC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883297"/>
    <w:multiLevelType w:val="multilevel"/>
    <w:tmpl w:val="F65E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922429">
    <w:abstractNumId w:val="1"/>
  </w:num>
  <w:num w:numId="2" w16cid:durableId="1271819744">
    <w:abstractNumId w:val="0"/>
  </w:num>
  <w:num w:numId="3" w16cid:durableId="50713841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357"/>
    <w:rsid w:val="000941D4"/>
    <w:rsid w:val="000F69AA"/>
    <w:rsid w:val="0013085B"/>
    <w:rsid w:val="001D6DBD"/>
    <w:rsid w:val="002370B6"/>
    <w:rsid w:val="002D0985"/>
    <w:rsid w:val="00433C5E"/>
    <w:rsid w:val="00925C30"/>
    <w:rsid w:val="00974308"/>
    <w:rsid w:val="009F043C"/>
    <w:rsid w:val="00D728A5"/>
    <w:rsid w:val="00D95B1D"/>
    <w:rsid w:val="00F30357"/>
    <w:rsid w:val="00FD6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5F877B"/>
  <w15:chartTrackingRefBased/>
  <w15:docId w15:val="{4E5B8505-46CC-804F-8044-E5736BADA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03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0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3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0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03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03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3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3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3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35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303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3035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6D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753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Angga Lesmana</dc:creator>
  <cp:keywords/>
  <dc:description/>
  <cp:lastModifiedBy>Angga Lesmana</cp:lastModifiedBy>
  <cp:revision>5</cp:revision>
  <dcterms:created xsi:type="dcterms:W3CDTF">2026-10-02T16:53:00Z</dcterms:created>
  <dcterms:modified xsi:type="dcterms:W3CDTF">2026-10-22T17:14:00Z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44290776-7843-4B97-A1CD-4253E7C1ED50</vt:lpwstr>
  </property>
</Properties>
</file>