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Kota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Kupang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2270">
        <w:rPr>
          <w:rFonts w:ascii="Times New Roman" w:eastAsia="Times New Roman" w:hAnsi="Times New Roman" w:cs="Times New Roman"/>
          <w:b/>
          <w:bCs/>
          <w:sz w:val="24"/>
          <w:szCs w:val="24"/>
        </w:rPr>
        <w:t>BKD.NTTPROV.GO.ID</w:t>
      </w:r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NTT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Henderina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Laiskodat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SP,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M.Si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menggelar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Kasubag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NTT di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Kamis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(30/01/2020).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Henderina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pemaparannya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forum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kesepahaman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mengemuka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ijin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honorer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pensiun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penilain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online.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Menurutnya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belajarnya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Dampaknya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PNS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diakui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ijazah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gelarnya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ijin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mengantongi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Gubernur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NTT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pula program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dilamar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terakreditasi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minimal B.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menghimbau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mencerna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Perda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NTT No. 13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2016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Daerah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NTT No. 8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2012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Tuas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Ikatan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SK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Honorer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di BKD.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28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Dari 28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8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menyelesikan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,  7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1.496 orang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memperpanjang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kontraknya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kedepan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51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1.547 orang.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diperhitungakan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pemberkasan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pihaknya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pemberkasan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penumpukan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menjelang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deadline.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BKD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merintis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digitasi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kebutuhannya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digaris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bawahi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Henderina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SK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mengusulkan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menduduki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reguler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, SK-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dibatalkan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pindah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setahun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SKP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SKP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diakumulasi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PNS. </w:t>
      </w:r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menyayangkan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melaporkan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lastRenderedPageBreak/>
        <w:t>pensiun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Daerah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menghentikan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gajinya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proaktif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melaporkan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Dearah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menampik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keterlembatan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pemberkasan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pensiun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keterlambatan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akibatnya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SK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terlambat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diterbitkan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pensiunan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terlambat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dibayar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Senada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Kaban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menyayangkan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pejabat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kelengkapan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JFT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pembebasan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pembebasan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PNS JFT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bookmarkStart w:id="0" w:name="_GoBack"/>
      <w:bookmarkEnd w:id="0"/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bawahi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pula PNS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menerbitkan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PAK PNS JFT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hukumnya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BKD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penetapan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PAK.</w:t>
      </w:r>
      <w:proofErr w:type="gramEnd"/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online.</w:t>
      </w:r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Menurutnya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6.567 PNS, PNS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401 orang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6.166 PNS yang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Capaian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270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. **</w:t>
      </w:r>
    </w:p>
    <w:p w:rsidR="005E2270" w:rsidRPr="005E2270" w:rsidRDefault="005E2270" w:rsidP="005E2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Gergorius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Babo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Kasubid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270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5E2270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5E2270" w:rsidRPr="005E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936E2"/>
    <w:multiLevelType w:val="multilevel"/>
    <w:tmpl w:val="75C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D82C76"/>
    <w:multiLevelType w:val="multilevel"/>
    <w:tmpl w:val="DC7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DE5627"/>
    <w:multiLevelType w:val="multilevel"/>
    <w:tmpl w:val="A11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70"/>
    <w:rsid w:val="00030BA2"/>
    <w:rsid w:val="002A5027"/>
    <w:rsid w:val="005E2270"/>
    <w:rsid w:val="006C78BE"/>
    <w:rsid w:val="00F3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2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1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0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8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8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0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30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3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49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6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84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53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3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7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5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43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68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35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54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8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5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2021-05-19T02:17:00Z</dcterms:created>
  <dcterms:modified xsi:type="dcterms:W3CDTF">2021-05-19T02:20:00Z</dcterms:modified>
</cp:coreProperties>
</file>