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1A3A6B"/>
          <w:sz w:val="52"/>
          <w:szCs w:val="52"/>
        </w:rPr>
        <w:t xml:space="preserve">Universal 3D Hand-Object Interaction</w:t>
      </w:r>
    </w:p>
    <w:p>
      <w:pPr>
        <w:spacing w:after="80" w:before="0"/>
      </w:pPr>
      <w:r>
        <w:rPr>
          <w:rFonts w:ascii="Arial" w:cs="Arial" w:eastAsia="Arial" w:hAnsi="Arial"/>
          <w:b/>
          <w:bCs/>
          <w:color w:val="2E5FA3"/>
          <w:sz w:val="48"/>
          <w:szCs w:val="48"/>
        </w:rPr>
        <w:t xml:space="preserve">Research &amp; Engineering Plan</w:t>
      </w:r>
    </w:p>
    <w:p>
      <w:pPr>
        <w:spacing w:after="600" w:before="0"/>
      </w:pPr>
      <w:r>
        <w:rPr>
          <w:rFonts w:ascii="Arial" w:cs="Arial" w:eastAsia="Arial" w:hAnsi="Arial"/>
          <w:color w:val="666666"/>
          <w:sz w:val="24"/>
          <w:szCs w:val="24"/>
        </w:rPr>
        <w:t xml:space="preserve">Fidelity Dynamics — Internal Working Document</w:t>
      </w:r>
    </w:p>
    <w:p>
      <w:pPr>
        <w:spacing w:after="100" w:before="60"/>
      </w:pPr>
      <w:r>
        <w:rPr>
          <w:rFonts w:ascii="Arial" w:cs="Arial" w:eastAsia="Arial" w:hAnsi="Arial"/>
          <w:sz w:val="22"/>
          <w:szCs w:val="22"/>
        </w:rPr>
        <w:t xml:space="preserve">This document lays out the research and engineering plan for building a universal 4D hand-object interaction dataset and pipeline — a representation layer that bridges human egocentric video and any robot embodiment. It covers the problem framing, relevant prior work, datasets, a phased execution plan, and open questions.</w:t>
      </w:r>
    </w:p>
    <w:p>
      <w:pPr>
        <w:pBdr>
          <w:bottom w:val="single" w:color="CCCCCC" w:sz="4" w:space="1"/>
        </w:pBdr>
        <w:spacing w:after="200" w:before="200"/>
      </w:pPr>
    </w:p>
    <w:p>
      <w:pPr>
        <w:pStyle w:val="Heading1"/>
        <w:spacing w:after="120" w:before="360"/>
      </w:pPr>
      <w:r>
        <w:rPr>
          <w:rFonts w:ascii="Arial" w:cs="Arial" w:eastAsia="Arial" w:hAnsi="Arial"/>
          <w:b/>
          <w:bCs/>
          <w:sz w:val="32"/>
          <w:szCs w:val="32"/>
        </w:rPr>
        <w:t xml:space="preserve">1. Problem Framing</w:t>
      </w:r>
    </w:p>
    <w:p>
      <w:pPr>
        <w:spacing w:after="100" w:before="60"/>
      </w:pPr>
      <w:r>
        <w:rPr>
          <w:rFonts w:ascii="Arial" w:cs="Arial" w:eastAsia="Arial" w:hAnsi="Arial"/>
          <w:sz w:val="22"/>
          <w:szCs w:val="22"/>
        </w:rPr>
        <w:t xml:space="preserve">The central insight driving this plan is a reframe of the core question. We do not ask: 'how do we correlate human egocentric video with robot data?' That framing is weak because it pulls toward naive solutions like data mixing, which wastes structural advantages.</w:t>
      </w:r>
    </w:p>
    <w:p>
      <w:pPr>
        <w:spacing w:after="100" w:before="60"/>
      </w:pPr>
      <w:r>
        <w:rPr>
          <w:rFonts w:ascii="Arial" w:cs="Arial" w:eastAsia="Arial" w:hAnsi="Arial"/>
          <w:sz w:val="22"/>
          <w:szCs w:val="22"/>
        </w:rPr>
        <w:t xml:space="preserve">The right question is: what is the best recipe for closing the embodiment gap between human egocentric video and robot action space?</w:t>
      </w:r>
    </w:p>
    <w:p>
      <w:pPr>
        <w:spacing w:after="100" w:before="60"/>
      </w:pPr>
      <w:r>
        <w:rPr>
          <w:rFonts w:ascii="Arial" w:cs="Arial" w:eastAsia="Arial" w:hAnsi="Arial"/>
          <w:sz w:val="22"/>
          <w:szCs w:val="22"/>
        </w:rPr>
        <w:t xml:space="preserve">This gap has three separable components, each requiring a different technical intervention: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Gap Component</w:t>
            </w:r>
          </w:p>
        </w:tc>
        <w:tc>
          <w:tcPr>
            <w:tcW w:type="dxa" w:w="40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Closed By</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Kinematic gap</w:t>
            </w:r>
          </w:p>
        </w:tc>
        <w:tc>
          <w:tcPr>
            <w:tcW w:type="dxa" w:w="4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Human finger geometry ≠ robot joint configuration. MANO hand ≠ Inspire hand.</w:t>
            </w:r>
          </w:p>
        </w:tc>
        <w:tc>
          <w:tcPr>
            <w:tcW w:type="dxa" w:w="3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3D mesh retargeting + ContactOpt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Perceptual / semantic gap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video observations look nothing like robot camera observations — background, viewpoint, hand visibility all differ.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EgoBridge OT latent alignment</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Diversity gap</w:t>
            </w:r>
          </w:p>
        </w:tc>
        <w:tc>
          <w:tcPr>
            <w:tcW w:type="dxa" w:w="4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A single human video ≠ enough training trajectories for robust policy learning.</w:t>
            </w:r>
          </w:p>
        </w:tc>
        <w:tc>
          <w:tcPr>
            <w:tcW w:type="dxa" w:w="3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DemoGen SE(3) spatial randomization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 / compliance gap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Retargeted kinematics are geometrically plausible but force-unaware. Critical for compliance-sensitive tasks.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Future: physics estimation from deformation cues</w:t>
            </w:r>
          </w:p>
        </w:tc>
      </w:tr>
    </w:tbl>
    <w:p>
      <w:pPr>
        <w:spacing w:before="200"/>
      </w:pPr>
    </w:p>
    <w:p>
      <w:pPr>
        <w:pStyle w:val="Heading2"/>
        <w:spacing w:after="80" w:before="280"/>
      </w:pPr>
      <w:r>
        <w:rPr>
          <w:rFonts w:ascii="Arial" w:cs="Arial" w:eastAsia="Arial" w:hAnsi="Arial"/>
          <w:b/>
          <w:bCs/>
          <w:sz w:val="26"/>
          <w:szCs w:val="26"/>
        </w:rPr>
        <w:t xml:space="preserve">1.1 The Universal Intermediate Representation</w:t>
      </w:r>
    </w:p>
    <w:p>
      <w:pPr>
        <w:spacing w:after="100" w:before="60"/>
      </w:pPr>
      <w:r>
        <w:rPr>
          <w:rFonts w:ascii="Arial" w:cs="Arial" w:eastAsia="Arial" w:hAnsi="Arial"/>
          <w:sz w:val="22"/>
          <w:szCs w:val="22"/>
        </w:rPr>
        <w:t xml:space="preserve">The strategic insight is that the 3D mesh layer — full hand mesh (MANO), object mesh (6D pose), contact maps, and eventually force estimates — should be treated as the product, not as a means to an end.</w:t>
      </w:r>
    </w:p>
    <w:p>
      <w:pPr>
        <w:spacing w:after="100" w:before="60"/>
      </w:pPr>
      <w:r>
        <w:rPr>
          <w:rFonts w:ascii="Arial" w:cs="Arial" w:eastAsia="Arial" w:hAnsi="Arial"/>
          <w:sz w:val="22"/>
          <w:szCs w:val="22"/>
        </w:rPr>
        <w:t xml:space="preserve">Current pipelines (VideoManip, our EgoDex) reconstruct 3D to produce trajectories for one specific robot. The reframe: treat the 3D reconstruction as a universal intermediate from which any client embodiment can derive its own training data via embodiment-specific retargeting.</w:t>
      </w:r>
    </w:p>
    <w:p>
      <w:pPr>
        <w:spacing w:after="100" w:before="60"/>
      </w:pPr>
      <w:r>
        <w:rPr>
          <w:rFonts w:ascii="Arial" w:cs="Arial" w:eastAsia="Arial" w:hAnsi="Arial"/>
          <w:b/>
          <w:bCs/>
          <w:sz w:val="22"/>
          <w:szCs w:val="22"/>
        </w:rPr>
        <w:t xml:space="preserve">LLM analogy: </w:t>
      </w:r>
      <w:r>
        <w:rPr>
          <w:rFonts w:ascii="Arial" w:cs="Arial" w:eastAsia="Arial" w:hAnsi="Arial"/>
          <w:sz w:val="22"/>
          <w:szCs w:val="22"/>
        </w:rPr>
        <w:t xml:space="preserve">The 3D mesh layer is tokenization — the canonical form that all embodiments convert to before embodiment-specific fine-tuning. Selling retargeted robot trajectories is selling a fine-tuned model. Selling the 3D dataset is selling the pre-training corpus.</w:t>
      </w:r>
    </w:p>
    <w:p>
      <w:pPr>
        <w:pBdr>
          <w:bottom w:val="single" w:color="CCCCCC" w:sz="4" w:space="1"/>
        </w:pBdr>
        <w:spacing w:after="200" w:before="200"/>
      </w:pPr>
    </w:p>
    <w:p>
      <w:pPr>
        <w:pStyle w:val="Heading1"/>
        <w:spacing w:after="120" w:before="360"/>
      </w:pPr>
      <w:r>
        <w:rPr>
          <w:rFonts w:ascii="Arial" w:cs="Arial" w:eastAsia="Arial" w:hAnsi="Arial"/>
          <w:b/>
          <w:bCs/>
          <w:sz w:val="32"/>
          <w:szCs w:val="32"/>
        </w:rPr>
        <w:t xml:space="preserve">2. Key Papers</w:t>
      </w:r>
    </w:p>
    <w:p>
      <w:pPr>
        <w:pStyle w:val="Heading2"/>
        <w:spacing w:after="80" w:before="280"/>
      </w:pPr>
      <w:r>
        <w:rPr>
          <w:rFonts w:ascii="Arial" w:cs="Arial" w:eastAsia="Arial" w:hAnsi="Arial"/>
          <w:b/>
          <w:bCs/>
          <w:sz w:val="26"/>
          <w:szCs w:val="26"/>
        </w:rPr>
        <w:t xml:space="preserve">2.1 Kinematic Gap — 3D Mesh Retargeting</w:t>
      </w:r>
    </w:p>
    <w:p>
      <w:pPr>
        <w:pStyle w:val="Heading3"/>
        <w:spacing w:after="60" w:before="200"/>
      </w:pPr>
      <w:r>
        <w:rPr>
          <w:rFonts w:ascii="Arial" w:cs="Arial" w:eastAsia="Arial" w:hAnsi="Arial"/>
          <w:b/>
          <w:bCs/>
          <w:sz w:val="22"/>
          <w:szCs w:val="22"/>
        </w:rPr>
        <w:t xml:space="preserve">VideoManip (Chen et al., CMU/Stanford, Feb 2026)</w:t>
      </w:r>
    </w:p>
    <w:p>
      <w:pPr>
        <w:spacing w:after="100" w:before="60"/>
      </w:pPr>
      <w:r>
        <w:rPr>
          <w:rFonts w:ascii="Arial" w:cs="Arial" w:eastAsia="Arial" w:hAnsi="Arial"/>
          <w:sz w:val="22"/>
          <w:szCs w:val="22"/>
        </w:rPr>
        <w:t xml:space="preserve">arXiv: 2602.09013  |  Venue: preprint  |  Hardware: LEAP Hand + xArm (real world), Inspire Hand (sim)</w:t>
      </w:r>
    </w:p>
    <w:p>
      <w:pPr>
        <w:spacing w:after="100" w:before="60"/>
      </w:pPr>
      <w:r>
        <w:rPr>
          <w:rFonts w:ascii="Arial" w:cs="Arial" w:eastAsia="Arial" w:hAnsi="Arial"/>
          <w:sz w:val="22"/>
          <w:szCs w:val="22"/>
        </w:rPr>
        <w:t xml:space="preserve">Core idea: Learn dexterous manipulation from RGB human videos by reconstructing explicit 3D hand-object meshes and retargeting to robot. Key technical contributions over prior keypoint-based retargeting: (1) contact-aware grasp optimization via ContactOpt, which improves grasping from 30.7% to 63.75% — a decisive ablation showing that physical contact correctness matters enormously; (2) DemoGen for trajectory diversity from a single source video; (3) gravity-alignment calibration (GeoCalib) enabling in-the-wild videos without camera-robot extrinsic calibration.</w:t>
      </w:r>
    </w:p>
    <w:p>
      <w:pPr>
        <w:spacing w:after="100" w:before="60"/>
      </w:pPr>
      <w:r>
        <w:rPr>
          <w:rFonts w:ascii="Arial" w:cs="Arial" w:eastAsia="Arial" w:hAnsi="Arial"/>
          <w:sz w:val="22"/>
          <w:szCs w:val="22"/>
        </w:rPr>
        <w:t xml:space="preserve">What it does NOT do: force estimation, multi-hand retargeting at scale, or perceptual gap closure.</w:t>
      </w:r>
    </w:p>
    <w:p>
      <w:pPr>
        <w:pStyle w:val="ListParagraph"/>
        <w:numPr>
          <w:ilvl w:val="0"/>
          <w:numId w:val="2"/>
        </w:numPr>
        <w:spacing w:after="40" w:before="40"/>
      </w:pPr>
      <w:r>
        <w:rPr>
          <w:rFonts w:ascii="Arial" w:cs="Arial" w:eastAsia="Arial" w:hAnsi="Arial"/>
          <w:sz w:val="22"/>
          <w:szCs w:val="22"/>
        </w:rPr>
        <w:t xml:space="preserve">Read for: ContactOpt integration, DemoGen usage, gravity calibration for in-the-wild videos</w:t>
      </w:r>
    </w:p>
    <w:p>
      <w:pPr>
        <w:pStyle w:val="ListParagraph"/>
        <w:numPr>
          <w:ilvl w:val="0"/>
          <w:numId w:val="2"/>
        </w:numPr>
        <w:spacing w:after="40" w:before="40"/>
      </w:pPr>
      <w:r>
        <w:rPr>
          <w:rFonts w:ascii="Arial" w:cs="Arial" w:eastAsia="Arial" w:hAnsi="Arial"/>
          <w:sz w:val="22"/>
          <w:szCs w:val="22"/>
        </w:rPr>
        <w:t xml:space="preserve">Code / project: videomanip.github.io</w:t>
      </w:r>
    </w:p>
    <w:p>
      <w:pPr>
        <w:spacing w:before="120"/>
      </w:pPr>
    </w:p>
    <w:p>
      <w:pPr>
        <w:pStyle w:val="Heading3"/>
        <w:spacing w:after="60" w:before="200"/>
      </w:pPr>
      <w:r>
        <w:rPr>
          <w:rFonts w:ascii="Arial" w:cs="Arial" w:eastAsia="Arial" w:hAnsi="Arial"/>
          <w:b/>
          <w:bCs/>
          <w:sz w:val="22"/>
          <w:szCs w:val="22"/>
        </w:rPr>
        <w:t xml:space="preserve">UniDex (Zhang et al., CVPR 2026)</w:t>
      </w:r>
    </w:p>
    <w:p>
      <w:pPr>
        <w:spacing w:after="100" w:before="60"/>
      </w:pPr>
      <w:r>
        <w:rPr>
          <w:rFonts w:ascii="Arial" w:cs="Arial" w:eastAsia="Arial" w:hAnsi="Arial"/>
          <w:sz w:val="22"/>
          <w:szCs w:val="22"/>
        </w:rPr>
        <w:t xml:space="preserve">arXiv: 2603.22264  |  Venue: CVPR 2026  |  Open-sourced</w:t>
      </w:r>
    </w:p>
    <w:p>
      <w:pPr>
        <w:spacing w:after="100" w:before="60"/>
      </w:pPr>
      <w:r>
        <w:rPr>
          <w:rFonts w:ascii="Arial" w:cs="Arial" w:eastAsia="Arial" w:hAnsi="Arial"/>
          <w:sz w:val="22"/>
          <w:szCs w:val="22"/>
        </w:rPr>
        <w:t xml:space="preserve">The closest existing work to what we are building. UniDex constructs a universal dexterous foundation dataset — 50K+ trajectories across eight dexterous hands (6–24 DoFs) — by retargeting open-source egocentric RGB-D datasets. Key contributions: (1) FAAS (Function-Actuator-Aligned Space), a unified action parameterization mapping functionally similar actuators across embodiments, enabling zero-shot cross-hand transfer; (2) UniDex-VLA, a 3D VLA policy pretrained on the multi-embodiment dataset; (3) UniDex-Cap, a portable RGB-D capture pipeline.</w:t>
      </w:r>
    </w:p>
    <w:p>
      <w:pPr>
        <w:spacing w:after="100" w:before="60"/>
      </w:pPr>
      <w:r>
        <w:rPr>
          <w:rFonts w:ascii="Arial" w:cs="Arial" w:eastAsia="Arial" w:hAnsi="Arial"/>
          <w:sz w:val="22"/>
          <w:szCs w:val="22"/>
        </w:rPr>
        <w:t xml:space="preserve">Critical distinction from our plan: UniDex requires RGB-D input (depth sensor). Our pipeline targets RGB-only via monocular depth estimation (MoGe-2, Depth Anything V2), which is more scalable and works on internet-scale egocentric video.</w:t>
      </w:r>
    </w:p>
    <w:p>
      <w:pPr>
        <w:pStyle w:val="ListParagraph"/>
        <w:numPr>
          <w:ilvl w:val="0"/>
          <w:numId w:val="2"/>
        </w:numPr>
        <w:spacing w:after="40" w:before="40"/>
      </w:pPr>
      <w:r>
        <w:rPr>
          <w:rFonts w:ascii="Arial" w:cs="Arial" w:eastAsia="Arial" w:hAnsi="Arial"/>
          <w:sz w:val="22"/>
          <w:szCs w:val="22"/>
        </w:rPr>
        <w:t xml:space="preserve">Read for: FAAS action space design, cross-embodiment transfer architecture, dataset construction methodology</w:t>
      </w:r>
    </w:p>
    <w:p>
      <w:pPr>
        <w:pStyle w:val="ListParagraph"/>
        <w:numPr>
          <w:ilvl w:val="0"/>
          <w:numId w:val="2"/>
        </w:numPr>
        <w:spacing w:after="40" w:before="40"/>
      </w:pPr>
      <w:r>
        <w:rPr>
          <w:rFonts w:ascii="Arial" w:cs="Arial" w:eastAsia="Arial" w:hAnsi="Arial"/>
          <w:sz w:val="22"/>
          <w:szCs w:val="22"/>
        </w:rPr>
        <w:t xml:space="preserve">Code: github.com/UniDex-ai/UniDex  |  Hugging Face: UniDex-ai/UniDex</w:t>
      </w:r>
    </w:p>
    <w:p>
      <w:pPr>
        <w:spacing w:before="120"/>
      </w:pPr>
    </w:p>
    <w:p>
      <w:pPr>
        <w:pStyle w:val="Heading3"/>
        <w:spacing w:after="60" w:before="200"/>
      </w:pPr>
      <w:r>
        <w:rPr>
          <w:rFonts w:ascii="Arial" w:cs="Arial" w:eastAsia="Arial" w:hAnsi="Arial"/>
          <w:b/>
          <w:bCs/>
          <w:sz w:val="22"/>
          <w:szCs w:val="22"/>
        </w:rPr>
        <w:t xml:space="preserve">EgoDex Dataset (Apple, 2024)</w:t>
      </w:r>
    </w:p>
    <w:p>
      <w:pPr>
        <w:spacing w:after="100" w:before="60"/>
      </w:pPr>
      <w:r>
        <w:rPr>
          <w:rFonts w:ascii="Arial" w:cs="Arial" w:eastAsia="Arial" w:hAnsi="Arial"/>
          <w:sz w:val="22"/>
          <w:szCs w:val="22"/>
        </w:rPr>
        <w:t xml:space="preserve">Large-scale egocentric video with 25-joint finger tracking, calibrated extrinsics, 194 dexterous tasks</w:t>
      </w:r>
    </w:p>
    <w:p>
      <w:pPr>
        <w:spacing w:after="100" w:before="60"/>
      </w:pPr>
      <w:r>
        <w:rPr>
          <w:rFonts w:ascii="Arial" w:cs="Arial" w:eastAsia="Arial" w:hAnsi="Arial"/>
          <w:sz w:val="22"/>
          <w:szCs w:val="22"/>
        </w:rPr>
        <w:t xml:space="preserve">Our primary input dataset. 25-joint finger tracking, calibrated camera extrinsics, and task diversity across 194 categories make it the highest-quality foundation for reconstruction. Already integrated into our EgoDex pipeline.</w:t>
      </w:r>
    </w:p>
    <w:p>
      <w:pPr>
        <w:spacing w:before="120"/>
      </w:pPr>
    </w:p>
    <w:p>
      <w:pPr>
        <w:pStyle w:val="Heading3"/>
        <w:spacing w:after="60" w:before="200"/>
      </w:pPr>
      <w:r>
        <w:rPr>
          <w:rFonts w:ascii="Arial" w:cs="Arial" w:eastAsia="Arial" w:hAnsi="Arial"/>
          <w:b/>
          <w:bCs/>
          <w:sz w:val="22"/>
          <w:szCs w:val="22"/>
        </w:rPr>
        <w:t xml:space="preserve">AnyTeleop / dex-retargeting (Qin et al., RSS 2023)</w:t>
      </w:r>
    </w:p>
    <w:p>
      <w:pPr>
        <w:spacing w:after="100" w:before="60"/>
      </w:pPr>
      <w:r>
        <w:rPr>
          <w:rFonts w:ascii="Arial" w:cs="Arial" w:eastAsia="Arial" w:hAnsi="Arial"/>
          <w:sz w:val="22"/>
          <w:szCs w:val="22"/>
        </w:rPr>
        <w:t xml:space="preserve">arXiv: 2307.04577  |  Library: PKU dex-retargeting</w:t>
      </w:r>
    </w:p>
    <w:p>
      <w:pPr>
        <w:spacing w:after="100" w:before="60"/>
      </w:pPr>
      <w:r>
        <w:rPr>
          <w:rFonts w:ascii="Arial" w:cs="Arial" w:eastAsia="Arial" w:hAnsi="Arial"/>
          <w:sz w:val="22"/>
          <w:szCs w:val="22"/>
        </w:rPr>
        <w:t xml:space="preserve">The retargeting library underpinning our EgoDex pipeline. PositionOptimizer maps human MANO joint positions to robot joint configs via IK. Relevant as a baseline to compare against mesh-based approaches (VideoManip's ContactOpt retargeting vs. keypoint IK).</w:t>
      </w:r>
    </w:p>
    <w:p>
      <w:pPr>
        <w:spacing w:before="120"/>
      </w:pPr>
    </w:p>
    <w:p>
      <w:pPr>
        <w:pStyle w:val="Heading3"/>
        <w:spacing w:after="60" w:before="200"/>
      </w:pPr>
      <w:r>
        <w:rPr>
          <w:rFonts w:ascii="Arial" w:cs="Arial" w:eastAsia="Arial" w:hAnsi="Arial"/>
          <w:b/>
          <w:bCs/>
          <w:sz w:val="22"/>
          <w:szCs w:val="22"/>
        </w:rPr>
        <w:t xml:space="preserve">ContactOpt (Grady et al., CVPR 2021)</w:t>
      </w:r>
    </w:p>
    <w:p>
      <w:pPr>
        <w:spacing w:after="100" w:before="60"/>
      </w:pPr>
      <w:r>
        <w:rPr>
          <w:rFonts w:ascii="Arial" w:cs="Arial" w:eastAsia="Arial" w:hAnsi="Arial"/>
          <w:sz w:val="22"/>
          <w:szCs w:val="22"/>
        </w:rPr>
        <w:t xml:space="preserve">arXiv: 2012.04100</w:t>
      </w:r>
    </w:p>
    <w:p>
      <w:pPr>
        <w:spacing w:after="100" w:before="60"/>
      </w:pPr>
      <w:r>
        <w:rPr>
          <w:rFonts w:ascii="Arial" w:cs="Arial" w:eastAsia="Arial" w:hAnsi="Arial"/>
          <w:sz w:val="22"/>
          <w:szCs w:val="22"/>
        </w:rPr>
        <w:t xml:space="preserve">Differentiable grasp contact optimization. Given a hand mesh and object mesh, predicts desired contact regions and optimizes hand pose to match. The key component VideoManip uses to turn geometrically-reconstructed but physically-invalid grasps into stable ones. The 2x improvement in VideoManip's ablation (30.7% → 63.75%) makes this essential.</w:t>
      </w:r>
    </w:p>
    <w:p>
      <w:pPr>
        <w:pStyle w:val="Heading2"/>
        <w:spacing w:after="80" w:before="280"/>
      </w:pPr>
      <w:r>
        <w:rPr>
          <w:rFonts w:ascii="Arial" w:cs="Arial" w:eastAsia="Arial" w:hAnsi="Arial"/>
          <w:b/>
          <w:bCs/>
          <w:sz w:val="26"/>
          <w:szCs w:val="26"/>
        </w:rPr>
        <w:t xml:space="preserve">2.2 Perceptual Gap — Latent Alignment</w:t>
      </w:r>
    </w:p>
    <w:p>
      <w:pPr>
        <w:pStyle w:val="Heading3"/>
        <w:spacing w:after="60" w:before="200"/>
      </w:pPr>
      <w:r>
        <w:rPr>
          <w:rFonts w:ascii="Arial" w:cs="Arial" w:eastAsia="Arial" w:hAnsi="Arial"/>
          <w:b/>
          <w:bCs/>
          <w:sz w:val="22"/>
          <w:szCs w:val="22"/>
        </w:rPr>
        <w:t xml:space="preserve">EgoBridge (Punamiya et al., NeurIPS 2025)</w:t>
      </w:r>
    </w:p>
    <w:p>
      <w:pPr>
        <w:spacing w:after="100" w:before="60"/>
      </w:pPr>
      <w:r>
        <w:rPr>
          <w:rFonts w:ascii="Arial" w:cs="Arial" w:eastAsia="Arial" w:hAnsi="Arial"/>
          <w:sz w:val="22"/>
          <w:szCs w:val="22"/>
        </w:rPr>
        <w:t xml:space="preserve">arXiv: 2509.19626  |  Venue: NeurIPS 2025 + CoRL H2R Workshop Oral</w:t>
      </w:r>
    </w:p>
    <w:p>
      <w:pPr>
        <w:spacing w:after="100" w:before="60"/>
      </w:pPr>
      <w:r>
        <w:rPr>
          <w:rFonts w:ascii="Arial" w:cs="Arial" w:eastAsia="Arial" w:hAnsi="Arial"/>
          <w:sz w:val="22"/>
          <w:szCs w:val="22"/>
        </w:rPr>
        <w:t xml:space="preserve">Co-training framework that closes the perceptual/semantic gap via Optimal Transport alignment of joint latent-action distributions. Key mechanism: DTW on action trajectories identifies behaviorally similar human-robot pseudo-pairs; OT then aligns the latent space conditioned on these pairs, preserving action-relevant information while eliminating domain-specific visual features.</w:t>
      </w:r>
    </w:p>
    <w:p>
      <w:pPr>
        <w:spacing w:after="100" w:before="60"/>
      </w:pPr>
      <w:r>
        <w:rPr>
          <w:rFonts w:ascii="Arial" w:cs="Arial" w:eastAsia="Arial" w:hAnsi="Arial"/>
          <w:sz w:val="22"/>
          <w:szCs w:val="22"/>
        </w:rPr>
        <w:t xml:space="preserve">Results: 44% absolute improvement over human-augmented baselines; generalizes to objects, scenes, and tasks seen only in human data. Validated on parallel-jaw gripper tasks with 2D trajectory actions — scaling to high-DoF dexterous hands is an open question we plan to explore.</w:t>
      </w:r>
    </w:p>
    <w:p>
      <w:pPr>
        <w:pStyle w:val="ListParagraph"/>
        <w:numPr>
          <w:ilvl w:val="0"/>
          <w:numId w:val="2"/>
        </w:numPr>
        <w:spacing w:after="40" w:before="40"/>
      </w:pPr>
      <w:r>
        <w:rPr>
          <w:rFonts w:ascii="Arial" w:cs="Arial" w:eastAsia="Arial" w:hAnsi="Arial"/>
          <w:sz w:val="22"/>
          <w:szCs w:val="22"/>
        </w:rPr>
        <w:t xml:space="preserve">Read for: OT + DTW alignment mechanism, pseudo-pair construction, co-training architecture</w:t>
      </w:r>
    </w:p>
    <w:p>
      <w:pPr>
        <w:pStyle w:val="ListParagraph"/>
        <w:numPr>
          <w:ilvl w:val="0"/>
          <w:numId w:val="2"/>
        </w:numPr>
        <w:spacing w:after="40" w:before="40"/>
      </w:pPr>
      <w:r>
        <w:rPr>
          <w:rFonts w:ascii="Arial" w:cs="Arial" w:eastAsia="Arial" w:hAnsi="Arial"/>
          <w:sz w:val="22"/>
          <w:szCs w:val="22"/>
        </w:rPr>
        <w:t xml:space="preserve">Code: ego-bridge.github.io</w:t>
      </w:r>
    </w:p>
    <w:p>
      <w:pPr>
        <w:spacing w:before="120"/>
      </w:pPr>
    </w:p>
    <w:p>
      <w:pPr>
        <w:pStyle w:val="Heading3"/>
        <w:spacing w:after="60" w:before="200"/>
      </w:pPr>
      <w:r>
        <w:rPr>
          <w:rFonts w:ascii="Arial" w:cs="Arial" w:eastAsia="Arial" w:hAnsi="Arial"/>
          <w:b/>
          <w:bCs/>
          <w:sz w:val="22"/>
          <w:szCs w:val="22"/>
        </w:rPr>
        <w:t xml:space="preserve">EgoMimic (Kareer et al., same lab as EgoBridge)</w:t>
      </w:r>
    </w:p>
    <w:p>
      <w:pPr>
        <w:spacing w:after="100" w:before="60"/>
      </w:pPr>
      <w:r>
        <w:rPr>
          <w:rFonts w:ascii="Arial" w:cs="Arial" w:eastAsia="Arial" w:hAnsi="Arial"/>
          <w:sz w:val="22"/>
          <w:szCs w:val="22"/>
        </w:rPr>
        <w:t xml:space="preserve">Predecessor to EgoBridge. Shows that co-training human + robot data with minimal kinematic gap (using Project Aria glasses + bimanual robot with matched kinematics) enables significant generalization. Establishes the data co-training paradigm that EgoBridge then extends with explicit alignment.</w:t>
      </w:r>
    </w:p>
    <w:p>
      <w:pPr>
        <w:pStyle w:val="ListParagraph"/>
        <w:numPr>
          <w:ilvl w:val="0"/>
          <w:numId w:val="2"/>
        </w:numPr>
        <w:spacing w:after="40" w:before="40"/>
      </w:pPr>
      <w:r>
        <w:rPr>
          <w:rFonts w:ascii="Arial" w:cs="Arial" w:eastAsia="Arial" w:hAnsi="Arial"/>
          <w:sz w:val="22"/>
          <w:szCs w:val="22"/>
        </w:rPr>
        <w:t xml:space="preserve">Read for: understanding what naive co-training achieves before alignment, kinematic gap minimization via hardware design</w:t>
      </w:r>
    </w:p>
    <w:p>
      <w:pPr>
        <w:spacing w:before="120"/>
      </w:pPr>
    </w:p>
    <w:p>
      <w:pPr>
        <w:pStyle w:val="Heading3"/>
        <w:spacing w:after="60" w:before="200"/>
      </w:pPr>
      <w:r>
        <w:rPr>
          <w:rFonts w:ascii="Arial" w:cs="Arial" w:eastAsia="Arial" w:hAnsi="Arial"/>
          <w:b/>
          <w:bCs/>
          <w:sz w:val="22"/>
          <w:szCs w:val="22"/>
        </w:rPr>
        <w:t xml:space="preserve">EgoVLA (Yang et al., 2025)</w:t>
      </w:r>
    </w:p>
    <w:p>
      <w:pPr>
        <w:spacing w:after="100" w:before="60"/>
      </w:pPr>
      <w:r>
        <w:rPr>
          <w:rFonts w:ascii="Arial" w:cs="Arial" w:eastAsia="Arial" w:hAnsi="Arial"/>
          <w:sz w:val="22"/>
          <w:szCs w:val="22"/>
        </w:rPr>
        <w:t xml:space="preserve">arXiv: 2507.12440</w:t>
      </w:r>
    </w:p>
    <w:p>
      <w:pPr>
        <w:spacing w:after="100" w:before="60"/>
      </w:pPr>
      <w:r>
        <w:rPr>
          <w:rFonts w:ascii="Arial" w:cs="Arial" w:eastAsia="Arial" w:hAnsi="Arial"/>
          <w:sz w:val="22"/>
          <w:szCs w:val="22"/>
        </w:rPr>
        <w:t xml:space="preserve">Third architectural path: pre-train a VLA on large-scale human egocentric video to predict wrist + MANO hand actions, then use IK and retargeting to convert to robot, then fine-tune on small robot demonstrations. Treats human video as a foundation model pre-training stage, not just data augmentation. Relevant because it shows another way to exploit the human-action alignment we build.</w:t>
      </w:r>
    </w:p>
    <w:p>
      <w:pPr>
        <w:pStyle w:val="Heading2"/>
        <w:spacing w:after="80" w:before="280"/>
      </w:pPr>
      <w:r>
        <w:rPr>
          <w:rFonts w:ascii="Arial" w:cs="Arial" w:eastAsia="Arial" w:hAnsi="Arial"/>
          <w:b/>
          <w:bCs/>
          <w:sz w:val="26"/>
          <w:szCs w:val="26"/>
        </w:rPr>
        <w:t xml:space="preserve">2.3 3D Vision Backbone</w:t>
      </w:r>
    </w:p>
    <w:p>
      <w:pPr>
        <w:pStyle w:val="Heading3"/>
        <w:spacing w:after="60" w:before="200"/>
      </w:pPr>
      <w:r>
        <w:rPr>
          <w:rFonts w:ascii="Arial" w:cs="Arial" w:eastAsia="Arial" w:hAnsi="Arial"/>
          <w:b/>
          <w:bCs/>
          <w:sz w:val="22"/>
          <w:szCs w:val="22"/>
        </w:rPr>
        <w:t xml:space="preserve">MoGe-2 (Wang et al., 2025)</w:t>
      </w:r>
    </w:p>
    <w:p>
      <w:pPr>
        <w:spacing w:after="100" w:before="60"/>
      </w:pPr>
      <w:r>
        <w:rPr>
          <w:rFonts w:ascii="Arial" w:cs="Arial" w:eastAsia="Arial" w:hAnsi="Arial"/>
          <w:sz w:val="22"/>
          <w:szCs w:val="22"/>
        </w:rPr>
        <w:t xml:space="preserve">arXiv: 2507.02546</w:t>
      </w:r>
    </w:p>
    <w:p>
      <w:pPr>
        <w:spacing w:after="100" w:before="60"/>
      </w:pPr>
      <w:r>
        <w:rPr>
          <w:rFonts w:ascii="Arial" w:cs="Arial" w:eastAsia="Arial" w:hAnsi="Arial"/>
          <w:sz w:val="22"/>
          <w:szCs w:val="22"/>
        </w:rPr>
        <w:t xml:space="preserve">Monocular metric depth estimation with sharp details. Used by VideoManip as the backbone for establishing a metric 3D coordinate frame from RGB-only video. Critical for making hand-object spatial alignment physically consistent across frames. Replaces needing depth sensors.</w:t>
      </w:r>
    </w:p>
    <w:p>
      <w:pPr>
        <w:spacing w:before="120"/>
      </w:pPr>
    </w:p>
    <w:p>
      <w:pPr>
        <w:pStyle w:val="Heading3"/>
        <w:spacing w:after="60" w:before="200"/>
      </w:pPr>
      <w:r>
        <w:rPr>
          <w:rFonts w:ascii="Arial" w:cs="Arial" w:eastAsia="Arial" w:hAnsi="Arial"/>
          <w:b/>
          <w:bCs/>
          <w:sz w:val="22"/>
          <w:szCs w:val="22"/>
        </w:rPr>
        <w:t xml:space="preserve">HaMeR (Pavlakos et al., CVPR 2024)</w:t>
      </w:r>
    </w:p>
    <w:p>
      <w:pPr>
        <w:spacing w:after="100" w:before="60"/>
      </w:pPr>
      <w:r>
        <w:rPr>
          <w:rFonts w:ascii="Arial" w:cs="Arial" w:eastAsia="Arial" w:hAnsi="Arial"/>
          <w:sz w:val="22"/>
          <w:szCs w:val="22"/>
        </w:rPr>
        <w:t xml:space="preserve">CVPR 2024</w:t>
      </w:r>
    </w:p>
    <w:p>
      <w:pPr>
        <w:spacing w:after="100" w:before="60"/>
      </w:pPr>
      <w:r>
        <w:rPr>
          <w:rFonts w:ascii="Arial" w:cs="Arial" w:eastAsia="Arial" w:hAnsi="Arial"/>
          <w:sz w:val="22"/>
          <w:szCs w:val="22"/>
        </w:rPr>
        <w:t xml:space="preserve">Transformer-based hand mesh recovery. Outputs MANO parameters (pose θ, shape β) from monocular RGB. Used by VideoManip and compatible with our pipeline. Key limitation: weak-perspective camera model introduces depth ambiguity — VideoManip corrects this by fusing with MoGe-2 depth maps.</w:t>
      </w:r>
    </w:p>
    <w:p>
      <w:pPr>
        <w:spacing w:before="120"/>
      </w:pPr>
    </w:p>
    <w:p>
      <w:pPr>
        <w:pStyle w:val="Heading3"/>
        <w:spacing w:after="60" w:before="200"/>
      </w:pPr>
      <w:r>
        <w:rPr>
          <w:rFonts w:ascii="Arial" w:cs="Arial" w:eastAsia="Arial" w:hAnsi="Arial"/>
          <w:b/>
          <w:bCs/>
          <w:sz w:val="22"/>
          <w:szCs w:val="22"/>
        </w:rPr>
        <w:t xml:space="preserve">FoundationPose (Wen et al., CVPR 2024)</w:t>
      </w:r>
    </w:p>
    <w:p>
      <w:pPr>
        <w:spacing w:after="100" w:before="60"/>
      </w:pPr>
      <w:r>
        <w:rPr>
          <w:rFonts w:ascii="Arial" w:cs="Arial" w:eastAsia="Arial" w:hAnsi="Arial"/>
          <w:sz w:val="22"/>
          <w:szCs w:val="22"/>
        </w:rPr>
        <w:t xml:space="preserve">Unified 6D pose estimation and tracking of novel objects given a mesh. Used by VideoManip for object pose estimation. Requires accurate metric mesh scale — VideoManip uses a GPT-4.1 + rendering-error refinement strategy to estimate unknown object scales.</w:t>
      </w:r>
    </w:p>
    <w:p>
      <w:pPr>
        <w:spacing w:before="120"/>
      </w:pPr>
    </w:p>
    <w:p>
      <w:pPr>
        <w:pStyle w:val="Heading3"/>
        <w:spacing w:after="60" w:before="200"/>
      </w:pPr>
      <w:r>
        <w:rPr>
          <w:rFonts w:ascii="Arial" w:cs="Arial" w:eastAsia="Arial" w:hAnsi="Arial"/>
          <w:b/>
          <w:bCs/>
          <w:sz w:val="22"/>
          <w:szCs w:val="22"/>
        </w:rPr>
        <w:t xml:space="preserve">SAM 2 (Ravi et al., ICLR 2025)</w:t>
      </w:r>
    </w:p>
    <w:p>
      <w:pPr>
        <w:spacing w:after="100" w:before="60"/>
      </w:pPr>
      <w:r>
        <w:rPr>
          <w:rFonts w:ascii="Arial" w:cs="Arial" w:eastAsia="Arial" w:hAnsi="Arial"/>
          <w:sz w:val="22"/>
          <w:szCs w:val="22"/>
        </w:rPr>
        <w:t xml:space="preserve">Segment Anything in images and videos. Used for object masking throughout the reconstruction pipeline. Enables object-centric image crops fed into mesh reconstruction.</w:t>
      </w:r>
    </w:p>
    <w:p>
      <w:pPr>
        <w:pStyle w:val="Heading2"/>
        <w:spacing w:after="80" w:before="280"/>
      </w:pPr>
      <w:r>
        <w:rPr>
          <w:rFonts w:ascii="Arial" w:cs="Arial" w:eastAsia="Arial" w:hAnsi="Arial"/>
          <w:b/>
          <w:bCs/>
          <w:sz w:val="26"/>
          <w:szCs w:val="26"/>
        </w:rPr>
        <w:t xml:space="preserve">2.4 Force Estimation — Future Stage</w:t>
      </w:r>
    </w:p>
    <w:p>
      <w:pPr>
        <w:pStyle w:val="Heading3"/>
        <w:spacing w:after="60" w:before="200"/>
      </w:pPr>
      <w:r>
        <w:rPr>
          <w:rFonts w:ascii="Arial" w:cs="Arial" w:eastAsia="Arial" w:hAnsi="Arial"/>
          <w:b/>
          <w:bCs/>
          <w:sz w:val="22"/>
          <w:szCs w:val="22"/>
        </w:rPr>
        <w:t xml:space="preserve">Estimating 3D Motion and Forces from Internet Videos (Zhu et al., ECCV 2022)</w:t>
      </w:r>
    </w:p>
    <w:p>
      <w:pPr>
        <w:spacing w:after="100" w:before="60"/>
      </w:pPr>
      <w:r>
        <w:rPr>
          <w:rFonts w:ascii="Arial" w:cs="Arial" w:eastAsia="Arial" w:hAnsi="Arial"/>
          <w:sz w:val="22"/>
          <w:szCs w:val="22"/>
        </w:rPr>
        <w:t xml:space="preserve">arXiv: 2111.01591</w:t>
      </w:r>
    </w:p>
    <w:p>
      <w:pPr>
        <w:spacing w:after="100" w:before="60"/>
      </w:pPr>
      <w:r>
        <w:rPr>
          <w:rFonts w:ascii="Arial" w:cs="Arial" w:eastAsia="Arial" w:hAnsi="Arial"/>
          <w:sz w:val="22"/>
          <w:szCs w:val="22"/>
        </w:rPr>
        <w:t xml:space="preserve">Estimates 6D contact forces (linear force + torque arrows) from single monocular video of tool use by formulating trajectory estimation as optimal control with contact state recognition. Works on instructional videos. This is the closest existing approach to video-based force estimation without tactile sensors — directly relevant to our long-term force gap closure goal.</w:t>
      </w:r>
    </w:p>
    <w:p>
      <w:pPr>
        <w:pStyle w:val="ListParagraph"/>
        <w:numPr>
          <w:ilvl w:val="0"/>
          <w:numId w:val="2"/>
        </w:numPr>
        <w:spacing w:after="40" w:before="40"/>
      </w:pPr>
      <w:r>
        <w:rPr>
          <w:rFonts w:ascii="Arial" w:cs="Arial" w:eastAsia="Arial" w:hAnsi="Arial"/>
          <w:sz w:val="22"/>
          <w:szCs w:val="22"/>
        </w:rPr>
        <w:t xml:space="preserve">Read for: physics-constrained trajectory estimation, contact state recognition from video</w:t>
      </w:r>
    </w:p>
    <w:p>
      <w:pPr>
        <w:spacing w:before="120"/>
      </w:pPr>
    </w:p>
    <w:p>
      <w:pPr>
        <w:pStyle w:val="Heading3"/>
        <w:spacing w:after="60" w:before="200"/>
      </w:pPr>
      <w:r>
        <w:rPr>
          <w:rFonts w:ascii="Arial" w:cs="Arial" w:eastAsia="Arial" w:hAnsi="Arial"/>
          <w:b/>
          <w:bCs/>
          <w:sz w:val="22"/>
          <w:szCs w:val="22"/>
        </w:rPr>
        <w:t xml:space="preserve">Forces for Free (Science Robotics, 2024)</w:t>
      </w:r>
    </w:p>
    <w:p>
      <w:pPr>
        <w:spacing w:after="100" w:before="60"/>
      </w:pPr>
      <w:r>
        <w:rPr>
          <w:rFonts w:ascii="Arial" w:cs="Arial" w:eastAsia="Arial" w:hAnsi="Arial"/>
          <w:sz w:val="22"/>
          <w:szCs w:val="22"/>
        </w:rPr>
        <w:t xml:space="preserve">DOI: 10.1126/scirobotics.adq5046</w:t>
      </w:r>
    </w:p>
    <w:p>
      <w:pPr>
        <w:spacing w:after="100" w:before="60"/>
      </w:pPr>
      <w:r>
        <w:rPr>
          <w:rFonts w:ascii="Arial" w:cs="Arial" w:eastAsia="Arial" w:hAnsi="Arial"/>
          <w:sz w:val="22"/>
          <w:szCs w:val="22"/>
        </w:rPr>
        <w:t xml:space="preserve">Vision-based contact force estimation from compliant robot hand deformation. Uses a wrist-mounted camera to observe finger elastic deformation under contact loads. Not directly applicable (requires compliant hardware), but establishes the principle that visual deformation cues are sufficient for force estimation — the same principle we would apply to human fingernail/skin deformation in video.</w:t>
      </w:r>
    </w:p>
    <w:p>
      <w:pPr>
        <w:pStyle w:val="ListParagraph"/>
        <w:numPr>
          <w:ilvl w:val="0"/>
          <w:numId w:val="2"/>
        </w:numPr>
        <w:spacing w:after="40" w:before="40"/>
      </w:pPr>
      <w:r>
        <w:rPr>
          <w:rFonts w:ascii="Arial" w:cs="Arial" w:eastAsia="Arial" w:hAnsi="Arial"/>
          <w:sz w:val="22"/>
          <w:szCs w:val="22"/>
        </w:rPr>
        <w:t xml:space="preserve">Read for: deformation-to-force estimation methodology, what accuracy is achievable without tactile sensors</w:t>
      </w:r>
    </w:p>
    <w:p>
      <w:pPr>
        <w:pBdr>
          <w:bottom w:val="single" w:color="CCCCCC" w:sz="4" w:space="1"/>
        </w:pBdr>
        <w:spacing w:after="200" w:before="200"/>
      </w:pPr>
    </w:p>
    <w:p>
      <w:pPr>
        <w:pStyle w:val="Heading1"/>
        <w:spacing w:after="120" w:before="360"/>
      </w:pPr>
      <w:r>
        <w:rPr>
          <w:rFonts w:ascii="Arial" w:cs="Arial" w:eastAsia="Arial" w:hAnsi="Arial"/>
          <w:b/>
          <w:bCs/>
          <w:sz w:val="32"/>
          <w:szCs w:val="32"/>
        </w:rPr>
        <w:t xml:space="preserve">3.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200"/>
        <w:gridCol w:w="1760"/>
      </w:tblGrid>
      <w:tr>
        <w:trPr>
          <w:tblHeader/>
        </w:trPr>
        <w:tc>
          <w:tcPr>
            <w:tcW w:type="dxa" w:w="18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18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18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Modality</w:t>
            </w:r>
          </w:p>
        </w:tc>
        <w:tc>
          <w:tcPr>
            <w:tcW w:type="dxa" w:w="22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3D Annotations</w:t>
            </w:r>
          </w:p>
        </w:tc>
        <w:tc>
          <w:tcPr>
            <w:tcW w:type="dxa" w:w="176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Relevance</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EgoDex (Apple, 2024)</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194 tasks, large scale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RGB egocentric, calibrated</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25-joint finger, extrinsics</w:t>
            </w:r>
          </w:p>
        </w:tc>
        <w:tc>
          <w:tcPr>
            <w:tcW w:type="dxa" w:w="1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Primary input — already integrated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HOT3D (Meta / CVPR 2025)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833 min, 33 objects, 19 subjects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RGB egocentric multiview (Aria + Quest3)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 mesh (MANO + UmeTrack), 6D object pose, 3D object mesh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High-quality 3D GT for validation / fine-tuning reconstruction</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HOI4D (2022)</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4,000 sequences, 800 objects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RGB-D egocentric</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Hand pose, action segmentation</w:t>
            </w:r>
          </w:p>
        </w:tc>
        <w:tc>
          <w:tcPr>
            <w:tcW w:type="dxa" w:w="1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Large-scale source; RGB-D enables ground-truth depth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ARCTIC (2023)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2.1M frames, 11 bimanual objects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RGB multiview + ego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Bimanual hand mesh, object mesh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Bimanual manipulation — future extension</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DexYCB (2021)</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1,000 sequences, 20 objects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RGB-D, 8 cameras</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MANO, 6D object pose</w:t>
            </w:r>
          </w:p>
        </w:tc>
        <w:tc>
          <w:tcPr>
            <w:tcW w:type="dxa" w:w="1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Standard benchmark for grasping quality evaluation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FIVER (Fidelity Dynamics)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Egocentric RGB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annotations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validation — existing client tasks</w:t>
            </w:r>
          </w:p>
        </w:tc>
      </w:tr>
    </w:tbl>
    <w:p>
      <w:pPr>
        <w:spacing w:before="200"/>
      </w:pPr>
    </w:p>
    <w:p>
      <w:pPr>
        <w:spacing w:after="100" w:before="60"/>
      </w:pPr>
      <w:r>
        <w:rPr>
          <w:rFonts w:ascii="Arial" w:cs="Arial" w:eastAsia="Arial" w:hAnsi="Arial"/>
          <w:sz w:val="22"/>
          <w:szCs w:val="22"/>
        </w:rPr>
        <w:t xml:space="preserve">Note on HOT3D: recorded using Project Aria (Meta's research AR glasses) and Quest 3, with passive marker mocap ground truth for hand and object poses. Directly useful as a validation set for our 3D reconstruction quality — we can compare our monocular reconstruction outputs against the mocap ground truth.</w:t>
      </w:r>
    </w:p>
    <w:p>
      <w:pPr>
        <w:pBdr>
          <w:bottom w:val="single" w:color="CCCCCC" w:sz="4" w:space="1"/>
        </w:pBdr>
        <w:spacing w:after="200" w:before="200"/>
      </w:pPr>
    </w:p>
    <w:p>
      <w:pPr>
        <w:pStyle w:val="Heading1"/>
        <w:spacing w:after="120" w:before="360"/>
      </w:pPr>
      <w:r>
        <w:rPr>
          <w:rFonts w:ascii="Arial" w:cs="Arial" w:eastAsia="Arial" w:hAnsi="Arial"/>
          <w:b/>
          <w:bCs/>
          <w:sz w:val="32"/>
          <w:szCs w:val="32"/>
        </w:rPr>
        <w:t xml:space="preserve">4. System Architecture</w:t>
      </w:r>
    </w:p>
    <w:p>
      <w:pPr>
        <w:pStyle w:val="Heading2"/>
        <w:spacing w:after="80" w:before="280"/>
      </w:pPr>
      <w:r>
        <w:rPr>
          <w:rFonts w:ascii="Arial" w:cs="Arial" w:eastAsia="Arial" w:hAnsi="Arial"/>
          <w:b/>
          <w:bCs/>
          <w:sz w:val="26"/>
          <w:szCs w:val="26"/>
        </w:rPr>
        <w:t xml:space="preserve">4.1 The Three-Layer Design</w:t>
      </w:r>
    </w:p>
    <w:p>
      <w:pPr>
        <w:spacing w:after="100" w:before="60"/>
      </w:pPr>
      <w:r>
        <w:rPr>
          <w:rFonts w:ascii="Arial" w:cs="Arial" w:eastAsia="Arial" w:hAnsi="Arial"/>
          <w:sz w:val="22"/>
          <w:szCs w:val="22"/>
        </w:rPr>
        <w:t xml:space="preserve">The pipeline decomposes into three cleanly separable layers. This separation is architecturally important: it means adding support for a new client robot requires only implementing Layer 3 for their URDF, without touching Layers 1 or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rPr>
          <w:tblHeader/>
        </w:trPr>
        <w:tc>
          <w:tcPr>
            <w:tcW w:type="dxa" w:w="20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4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76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Layer 1: 3D Reconstruction</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RGB egocentric video</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Hand mesh (MANO θ, β), object mesh (6D pose + geometry), contact maps</w:t>
            </w:r>
          </w:p>
        </w:tc>
        <w:tc>
          <w:tcPr>
            <w:tcW w:type="dxa" w:w="2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MoGe-2, HaMeR, SAM2 + MeshyAI, FoundationPose, ContactOpt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2: Latent Alignment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observations + retargeted robot trajectories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Aligned latent-action space shared by human and robot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EgoBridge encoder, OT + DTW loss, co-training loop</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Layer 3: Embodiment Retargeting</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3D mesh layer + client robot URDF</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Robot joint trajectories (q_t), executable actions</w:t>
            </w:r>
          </w:p>
        </w:tc>
        <w:tc>
          <w:tcPr>
            <w:tcW w:type="dxa" w:w="2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dex-retargeting / AnyTeleop, embodiment-specific IK</w:t>
            </w:r>
          </w:p>
        </w:tc>
      </w:tr>
    </w:tbl>
    <w:p>
      <w:pPr>
        <w:spacing w:before="200"/>
      </w:pPr>
    </w:p>
    <w:p>
      <w:pPr>
        <w:pStyle w:val="Heading2"/>
        <w:spacing w:after="80" w:before="280"/>
      </w:pPr>
      <w:r>
        <w:rPr>
          <w:rFonts w:ascii="Arial" w:cs="Arial" w:eastAsia="Arial" w:hAnsi="Arial"/>
          <w:b/>
          <w:bCs/>
          <w:sz w:val="26"/>
          <w:szCs w:val="26"/>
        </w:rPr>
        <w:t xml:space="preserve">4.2 Data Flow</w:t>
      </w:r>
    </w:p>
    <w:p>
      <w:pPr>
        <w:spacing w:after="100" w:before="60"/>
      </w:pPr>
      <w:r>
        <w:rPr>
          <w:rFonts w:ascii="Arial" w:cs="Arial" w:eastAsia="Arial" w:hAnsi="Arial"/>
          <w:sz w:val="22"/>
          <w:szCs w:val="22"/>
        </w:rPr>
        <w:t xml:space="preserve">Human egocentric video enters Layer 1. The 3D reconstruction layer produces the universal intermediate — a 4D sequence of (hand mesh, object mesh, contact map) tuples in metric space. This is the artifact we store and sell.</w:t>
      </w:r>
    </w:p>
    <w:p>
      <w:pPr>
        <w:spacing w:after="100" w:before="60"/>
      </w:pPr>
      <w:r>
        <w:rPr>
          <w:rFonts w:ascii="Arial" w:cs="Arial" w:eastAsia="Arial" w:hAnsi="Arial"/>
          <w:sz w:val="22"/>
          <w:szCs w:val="22"/>
        </w:rPr>
        <w:t xml:space="preserve">Layer 3 takes the universal intermediate and a client URDF and runs retargeting to produce that client's robot-executable trajectories. Layer 2 sits at training time: it aligns the latent representations of human observations and robot observations so the policy encoder can leverage both data sources.</w:t>
      </w:r>
    </w:p>
    <w:p>
      <w:pPr>
        <w:spacing w:after="100" w:before="60"/>
      </w:pPr>
      <w:r>
        <w:rPr>
          <w:rFonts w:ascii="Arial" w:cs="Arial" w:eastAsia="Arial" w:hAnsi="Arial"/>
          <w:sz w:val="22"/>
          <w:szCs w:val="22"/>
        </w:rPr>
        <w:t xml:space="preserve">For parallel-jaw gripper clients (most of Fidelity Dynamics' current customers), Layer 3 is trivial — wrist pose + gripper width. The 3D mesh intermediate is even richer than needed. For dexterous hand clients (Inspire, LEAP), all three layers are fully utilized.</w:t>
      </w:r>
    </w:p>
    <w:p>
      <w:pPr>
        <w:pStyle w:val="Heading2"/>
        <w:spacing w:after="80" w:before="280"/>
      </w:pPr>
      <w:r>
        <w:rPr>
          <w:rFonts w:ascii="Arial" w:cs="Arial" w:eastAsia="Arial" w:hAnsi="Arial"/>
          <w:b/>
          <w:bCs/>
          <w:sz w:val="26"/>
          <w:szCs w:val="26"/>
        </w:rPr>
        <w:t xml:space="preserve">4.3 Action Space for EgoBridge DTW</w:t>
      </w:r>
    </w:p>
    <w:p>
      <w:pPr>
        <w:spacing w:after="100" w:before="60"/>
      </w:pPr>
      <w:r>
        <w:rPr>
          <w:rFonts w:ascii="Arial" w:cs="Arial" w:eastAsia="Arial" w:hAnsi="Arial"/>
          <w:sz w:val="22"/>
          <w:szCs w:val="22"/>
        </w:rPr>
        <w:t xml:space="preserve">The key engineering question for integrating EgoBridge with dexterous hands is what action representation to use for DTW pseudo-pairing. Our recommendation: decompose.</w:t>
      </w:r>
    </w:p>
    <w:p>
      <w:pPr>
        <w:pStyle w:val="ListParagraph"/>
        <w:numPr>
          <w:ilvl w:val="0"/>
          <w:numId w:val="2"/>
        </w:numPr>
        <w:spacing w:after="40" w:before="40"/>
      </w:pPr>
      <w:r>
        <w:rPr>
          <w:rFonts w:ascii="Arial" w:cs="Arial" w:eastAsia="Arial" w:hAnsi="Arial"/>
          <w:sz w:val="22"/>
          <w:szCs w:val="22"/>
        </w:rPr>
        <w:t xml:space="preserve">DTW pseudo-pairing: run on 6-DoF wrist trajectory only. Wrist motion is the dominant behavioral similarity signal across tasks.</w:t>
      </w:r>
    </w:p>
    <w:p>
      <w:pPr>
        <w:pStyle w:val="ListParagraph"/>
        <w:numPr>
          <w:ilvl w:val="0"/>
          <w:numId w:val="2"/>
        </w:numPr>
        <w:spacing w:after="40" w:before="40"/>
      </w:pPr>
      <w:r>
        <w:rPr>
          <w:rFonts w:ascii="Arial" w:cs="Arial" w:eastAsia="Arial" w:hAnsi="Arial"/>
          <w:sz w:val="22"/>
          <w:szCs w:val="22"/>
        </w:rPr>
        <w:t xml:space="preserve">BC loss: supervise on full action space (6-DoF wrist + N-DoF fingers, where N = 16 for Inspire, 16 for LEAP).</w:t>
      </w:r>
    </w:p>
    <w:p>
      <w:pPr>
        <w:pStyle w:val="ListParagraph"/>
        <w:numPr>
          <w:ilvl w:val="0"/>
          <w:numId w:val="2"/>
        </w:numPr>
        <w:spacing w:after="40" w:before="40"/>
      </w:pPr>
      <w:r>
        <w:rPr>
          <w:rFonts w:ascii="Arial" w:cs="Arial" w:eastAsia="Arial" w:hAnsi="Arial"/>
          <w:sz w:val="22"/>
          <w:szCs w:val="22"/>
        </w:rPr>
        <w:t xml:space="preserve">OT alignment: run on wrist-trajectory-identified pseudo-pairs, applied to full policy latent.</w:t>
      </w:r>
    </w:p>
    <w:p>
      <w:pPr>
        <w:spacing w:after="100" w:before="60"/>
      </w:pPr>
      <w:r>
        <w:rPr>
          <w:rFonts w:ascii="Arial" w:cs="Arial" w:eastAsia="Arial" w:hAnsi="Arial"/>
          <w:sz w:val="22"/>
          <w:szCs w:val="22"/>
        </w:rPr>
        <w:t xml:space="preserve">This avoids the curse of dimensionality in high-dimensional DTW while preserving full action supervision. For parallel-jaw clients, this simplifies to standard EgoBridge.</w:t>
      </w:r>
    </w:p>
    <w:p>
      <w:pPr>
        <w:pBdr>
          <w:bottom w:val="single" w:color="CCCCCC" w:sz="4" w:space="1"/>
        </w:pBdr>
        <w:spacing w:after="200" w:before="200"/>
      </w:pPr>
    </w:p>
    <w:p>
      <w:pPr>
        <w:pStyle w:val="Heading1"/>
        <w:spacing w:after="120" w:before="360"/>
      </w:pPr>
      <w:r>
        <w:rPr>
          <w:rFonts w:ascii="Arial" w:cs="Arial" w:eastAsia="Arial" w:hAnsi="Arial"/>
          <w:b/>
          <w:bCs/>
          <w:sz w:val="32"/>
          <w:szCs w:val="32"/>
        </w:rPr>
        <w:t xml:space="preserve">5. Phased Execution Plan</w:t>
      </w:r>
    </w:p>
    <w:p>
      <w:pPr>
        <w:pStyle w:val="Heading2"/>
        <w:spacing w:after="80" w:before="280"/>
      </w:pPr>
      <w:r>
        <w:rPr>
          <w:rFonts w:ascii="Arial" w:cs="Arial" w:eastAsia="Arial" w:hAnsi="Arial"/>
          <w:b/>
          <w:bCs/>
          <w:sz w:val="26"/>
          <w:szCs w:val="26"/>
        </w:rPr>
        <w:t xml:space="preserve">Phase 0 — Baseline Audit (2 weeks)</w:t>
      </w:r>
    </w:p>
    <w:p>
      <w:pPr>
        <w:spacing w:after="100" w:before="60"/>
      </w:pPr>
      <w:r>
        <w:rPr>
          <w:rFonts w:ascii="Arial" w:cs="Arial" w:eastAsia="Arial" w:hAnsi="Arial"/>
          <w:sz w:val="22"/>
          <w:szCs w:val="22"/>
        </w:rPr>
        <w:t xml:space="preserve">Before building anything new, establish what we already have and where it fails.</w:t>
      </w:r>
    </w:p>
    <w:p>
      <w:pPr>
        <w:pStyle w:val="ListParagraph"/>
        <w:numPr>
          <w:ilvl w:val="0"/>
          <w:numId w:val="2"/>
        </w:numPr>
        <w:spacing w:after="40" w:before="40"/>
      </w:pPr>
      <w:r>
        <w:rPr>
          <w:rFonts w:ascii="Arial" w:cs="Arial" w:eastAsia="Arial" w:hAnsi="Arial"/>
          <w:sz w:val="22"/>
          <w:szCs w:val="22"/>
        </w:rPr>
        <w:t xml:space="preserve">Run full EgoDex pipeline on 50+ EgoDex episodes beyond basic_pick_place. Document failure modes by category: IK failure, contact failure, policy collapse.</w:t>
      </w:r>
    </w:p>
    <w:p>
      <w:pPr>
        <w:pStyle w:val="ListParagraph"/>
        <w:numPr>
          <w:ilvl w:val="0"/>
          <w:numId w:val="2"/>
        </w:numPr>
        <w:spacing w:after="40" w:before="40"/>
      </w:pPr>
      <w:r>
        <w:rPr>
          <w:rFonts w:ascii="Arial" w:cs="Arial" w:eastAsia="Arial" w:hAnsi="Arial"/>
          <w:sz w:val="22"/>
          <w:szCs w:val="22"/>
        </w:rPr>
        <w:t xml:space="preserve">Profile where reconstruction error originates: HaMeR hand pose, depth alignment, or retargeting IK.</w:t>
      </w:r>
    </w:p>
    <w:p>
      <w:pPr>
        <w:pStyle w:val="ListParagraph"/>
        <w:numPr>
          <w:ilvl w:val="0"/>
          <w:numId w:val="2"/>
        </w:numPr>
        <w:spacing w:after="40" w:before="40"/>
      </w:pPr>
      <w:r>
        <w:rPr>
          <w:rFonts w:ascii="Arial" w:cs="Arial" w:eastAsia="Arial" w:hAnsi="Arial"/>
          <w:sz w:val="22"/>
          <w:szCs w:val="22"/>
        </w:rPr>
        <w:t xml:space="preserve">Establish baseline metrics: IK error (already have: 96.8% sub-5mm), contact plausibility score (new), policy success rate on held-out tasks (currently 10%).</w:t>
      </w:r>
    </w:p>
    <w:p>
      <w:pPr>
        <w:pStyle w:val="ListParagraph"/>
        <w:numPr>
          <w:ilvl w:val="0"/>
          <w:numId w:val="2"/>
        </w:numPr>
        <w:spacing w:after="40" w:before="40"/>
      </w:pPr>
      <w:r>
        <w:rPr>
          <w:rFonts w:ascii="Arial" w:cs="Arial" w:eastAsia="Arial" w:hAnsi="Arial"/>
          <w:sz w:val="22"/>
          <w:szCs w:val="22"/>
        </w:rPr>
        <w:t xml:space="preserve">Deliverable: Failure mode taxonomy + baseline metrics table. Write this as an engineering design doc before touching any code.</w:t>
      </w:r>
    </w:p>
    <w:p>
      <w:pPr>
        <w:pStyle w:val="Heading2"/>
        <w:spacing w:after="80" w:before="280"/>
      </w:pPr>
      <w:r>
        <w:rPr>
          <w:rFonts w:ascii="Arial" w:cs="Arial" w:eastAsia="Arial" w:hAnsi="Arial"/>
          <w:b/>
          <w:bCs/>
          <w:sz w:val="26"/>
          <w:szCs w:val="26"/>
        </w:rPr>
        <w:t xml:space="preserve">Phase 1 — Contact-Aware Retargeting (4 weeks)</w:t>
      </w:r>
    </w:p>
    <w:p>
      <w:pPr>
        <w:spacing w:after="100" w:before="60"/>
      </w:pPr>
      <w:r>
        <w:rPr>
          <w:rFonts w:ascii="Arial" w:cs="Arial" w:eastAsia="Arial" w:hAnsi="Arial"/>
          <w:sz w:val="22"/>
          <w:szCs w:val="22"/>
        </w:rPr>
        <w:t xml:space="preserve">Integrate ContactOpt into our retargeting stage. This is the single highest-leverage intervention based on VideoManip's ablation (2x improvement).</w:t>
      </w:r>
    </w:p>
    <w:p>
      <w:pPr>
        <w:pStyle w:val="ListParagraph"/>
        <w:numPr>
          <w:ilvl w:val="0"/>
          <w:numId w:val="2"/>
        </w:numPr>
        <w:spacing w:after="40" w:before="40"/>
      </w:pPr>
      <w:r>
        <w:rPr>
          <w:rFonts w:ascii="Arial" w:cs="Arial" w:eastAsia="Arial" w:hAnsi="Arial"/>
          <w:sz w:val="22"/>
          <w:szCs w:val="22"/>
        </w:rPr>
        <w:t xml:space="preserve">Step 1.1: Integrate ContactOpt into EgoDex Stage 3 (finger retargeting). Replace or augment PositionOptimizer with contact-map-aware optimization.</w:t>
      </w:r>
    </w:p>
    <w:p>
      <w:pPr>
        <w:pStyle w:val="ListParagraph"/>
        <w:numPr>
          <w:ilvl w:val="0"/>
          <w:numId w:val="2"/>
        </w:numPr>
        <w:spacing w:after="40" w:before="40"/>
      </w:pPr>
      <w:r>
        <w:rPr>
          <w:rFonts w:ascii="Arial" w:cs="Arial" w:eastAsia="Arial" w:hAnsi="Arial"/>
          <w:sz w:val="22"/>
          <w:szCs w:val="22"/>
        </w:rPr>
        <w:t xml:space="preserve">Step 1.2: Add object mesh reconstruction. Currently EgoDex retargets hand only. Extend to reconstruct object mesh (SAM2 + MeshyAI + FoundationPose scale estimation) to enable contact map computation.</w:t>
      </w:r>
    </w:p>
    <w:p>
      <w:pPr>
        <w:pStyle w:val="ListParagraph"/>
        <w:numPr>
          <w:ilvl w:val="0"/>
          <w:numId w:val="2"/>
        </w:numPr>
        <w:spacing w:after="40" w:before="40"/>
      </w:pPr>
      <w:r>
        <w:rPr>
          <w:rFonts w:ascii="Arial" w:cs="Arial" w:eastAsia="Arial" w:hAnsi="Arial"/>
          <w:sz w:val="22"/>
          <w:szCs w:val="22"/>
        </w:rPr>
        <w:t xml:space="preserve">Step 1.3: Validate contact quality. Metric: fraction of grasps passing IsaacGym disturbance test at 0.5x object mass.</w:t>
      </w:r>
    </w:p>
    <w:p>
      <w:pPr>
        <w:pStyle w:val="ListParagraph"/>
        <w:numPr>
          <w:ilvl w:val="0"/>
          <w:numId w:val="2"/>
        </w:numPr>
        <w:spacing w:after="40" w:before="40"/>
      </w:pPr>
      <w:r>
        <w:rPr>
          <w:rFonts w:ascii="Arial" w:cs="Arial" w:eastAsia="Arial" w:hAnsi="Arial"/>
          <w:sz w:val="22"/>
          <w:szCs w:val="22"/>
        </w:rPr>
        <w:t xml:space="preserve">Step 1.4: Run DemoGen on reconstructed trajectories. Integrate SE(3) spatial randomization to generate 100–1000 trajectories per source video.</w:t>
      </w:r>
    </w:p>
    <w:p>
      <w:pPr>
        <w:pStyle w:val="ListParagraph"/>
        <w:numPr>
          <w:ilvl w:val="0"/>
          <w:numId w:val="2"/>
        </w:numPr>
        <w:spacing w:after="40" w:before="40"/>
      </w:pPr>
      <w:r>
        <w:rPr>
          <w:rFonts w:ascii="Arial" w:cs="Arial" w:eastAsia="Arial" w:hAnsi="Arial"/>
          <w:sz w:val="22"/>
          <w:szCs w:val="22"/>
        </w:rPr>
        <w:t xml:space="preserve">Deliverable: Updated EgoDex pipeline with contact-aware retargeting. Target: 50%+ grasp success (from current 10% policy success, addressing root cause).</w:t>
      </w:r>
    </w:p>
    <w:p>
      <w:pPr>
        <w:pStyle w:val="Heading2"/>
        <w:spacing w:after="80" w:before="280"/>
      </w:pPr>
      <w:r>
        <w:rPr>
          <w:rFonts w:ascii="Arial" w:cs="Arial" w:eastAsia="Arial" w:hAnsi="Arial"/>
          <w:b/>
          <w:bCs/>
          <w:sz w:val="26"/>
          <w:szCs w:val="26"/>
        </w:rPr>
        <w:t xml:space="preserve">Phase 2 — EgoBridge Integration (4 weeks)</w:t>
      </w:r>
    </w:p>
    <w:p>
      <w:pPr>
        <w:spacing w:after="100" w:before="60"/>
      </w:pPr>
      <w:r>
        <w:rPr>
          <w:rFonts w:ascii="Arial" w:cs="Arial" w:eastAsia="Arial" w:hAnsi="Arial"/>
          <w:sz w:val="22"/>
          <w:szCs w:val="22"/>
        </w:rPr>
        <w:t xml:space="preserve">Add perceptual gap closure via latent alignment. This targets the distribution mismatch between human video observations and robot camera observations at the representation level.</w:t>
      </w:r>
    </w:p>
    <w:p>
      <w:pPr>
        <w:pStyle w:val="ListParagraph"/>
        <w:numPr>
          <w:ilvl w:val="0"/>
          <w:numId w:val="2"/>
        </w:numPr>
        <w:spacing w:after="40" w:before="40"/>
      </w:pPr>
      <w:r>
        <w:rPr>
          <w:rFonts w:ascii="Arial" w:cs="Arial" w:eastAsia="Arial" w:hAnsi="Arial"/>
          <w:sz w:val="22"/>
          <w:szCs w:val="22"/>
        </w:rPr>
        <w:t xml:space="preserve">Step 2.1: Implement EgoBridge encoder. Shared encoder f_phi for human and robot observations. For our setup: egocentric RGB (human) vs. wrist camera + overhead camera (robot).</w:t>
      </w:r>
    </w:p>
    <w:p>
      <w:pPr>
        <w:pStyle w:val="ListParagraph"/>
        <w:numPr>
          <w:ilvl w:val="0"/>
          <w:numId w:val="2"/>
        </w:numPr>
        <w:spacing w:after="40" w:before="40"/>
      </w:pPr>
      <w:r>
        <w:rPr>
          <w:rFonts w:ascii="Arial" w:cs="Arial" w:eastAsia="Arial" w:hAnsi="Arial"/>
          <w:sz w:val="22"/>
          <w:szCs w:val="22"/>
        </w:rPr>
        <w:t xml:space="preserve">Step 2.2: Implement DTW pseudo-pairing on wrist trajectories. For each robot trajectory, find the k most behaviorally similar human trajectories in the batch.</w:t>
      </w:r>
    </w:p>
    <w:p>
      <w:pPr>
        <w:pStyle w:val="ListParagraph"/>
        <w:numPr>
          <w:ilvl w:val="0"/>
          <w:numId w:val="2"/>
        </w:numPr>
        <w:spacing w:after="40" w:before="40"/>
      </w:pPr>
      <w:r>
        <w:rPr>
          <w:rFonts w:ascii="Arial" w:cs="Arial" w:eastAsia="Arial" w:hAnsi="Arial"/>
          <w:sz w:val="22"/>
          <w:szCs w:val="22"/>
        </w:rPr>
        <w:t xml:space="preserve">Step 2.3: Implement OT alignment loss. Sinkhorn iterations on pseudo-pair-discounted cost matrix. Add as auxiliary loss to BC training.</w:t>
      </w:r>
    </w:p>
    <w:p>
      <w:pPr>
        <w:pStyle w:val="ListParagraph"/>
        <w:numPr>
          <w:ilvl w:val="0"/>
          <w:numId w:val="2"/>
        </w:numPr>
        <w:spacing w:after="40" w:before="40"/>
      </w:pPr>
      <w:r>
        <w:rPr>
          <w:rFonts w:ascii="Arial" w:cs="Arial" w:eastAsia="Arial" w:hAnsi="Arial"/>
          <w:sz w:val="22"/>
          <w:szCs w:val="22"/>
        </w:rPr>
        <w:t xml:space="preserve">Step 2.4: Co-train on EgoDex human video + client robot demonstrations. Ablate: with and without OT loss, with and without DTW pairing.</w:t>
      </w:r>
    </w:p>
    <w:p>
      <w:pPr>
        <w:pStyle w:val="ListParagraph"/>
        <w:numPr>
          <w:ilvl w:val="0"/>
          <w:numId w:val="2"/>
        </w:numPr>
        <w:spacing w:after="40" w:before="40"/>
      </w:pPr>
      <w:r>
        <w:rPr>
          <w:rFonts w:ascii="Arial" w:cs="Arial" w:eastAsia="Arial" w:hAnsi="Arial"/>
          <w:sz w:val="22"/>
          <w:szCs w:val="22"/>
        </w:rPr>
        <w:t xml:space="preserve">Deliverable: Co-training framework with EgoBridge. Target: measure generalization to novel objects/scenes seen only in human data.</w:t>
      </w:r>
    </w:p>
    <w:p>
      <w:pPr>
        <w:pStyle w:val="Heading2"/>
        <w:spacing w:after="80" w:before="280"/>
      </w:pPr>
      <w:r>
        <w:rPr>
          <w:rFonts w:ascii="Arial" w:cs="Arial" w:eastAsia="Arial" w:hAnsi="Arial"/>
          <w:b/>
          <w:bCs/>
          <w:sz w:val="26"/>
          <w:szCs w:val="26"/>
        </w:rPr>
        <w:t xml:space="preserve">Phase 3 — Cross-Embodiment Retargeting (3 weeks)</w:t>
      </w:r>
    </w:p>
    <w:p>
      <w:pPr>
        <w:spacing w:after="100" w:before="60"/>
      </w:pPr>
      <w:r>
        <w:rPr>
          <w:rFonts w:ascii="Arial" w:cs="Arial" w:eastAsia="Arial" w:hAnsi="Arial"/>
          <w:sz w:val="22"/>
          <w:szCs w:val="22"/>
        </w:rPr>
        <w:t xml:space="preserve">Validate that the 3D mesh intermediate enables one-to-many embodiment retargeting without rebuilding Layer 1.</w:t>
      </w:r>
    </w:p>
    <w:p>
      <w:pPr>
        <w:pStyle w:val="ListParagraph"/>
        <w:numPr>
          <w:ilvl w:val="0"/>
          <w:numId w:val="2"/>
        </w:numPr>
        <w:spacing w:after="40" w:before="40"/>
      </w:pPr>
      <w:r>
        <w:rPr>
          <w:rFonts w:ascii="Arial" w:cs="Arial" w:eastAsia="Arial" w:hAnsi="Arial"/>
          <w:sz w:val="22"/>
          <w:szCs w:val="22"/>
        </w:rPr>
        <w:t xml:space="preserve">Step 3.1: Take the same 3D mesh dataset (Layer 1 output) and retarget to a second robot hand (e.g., LEAP Hand URDF in addition to Inspire).</w:t>
      </w:r>
    </w:p>
    <w:p>
      <w:pPr>
        <w:pStyle w:val="ListParagraph"/>
        <w:numPr>
          <w:ilvl w:val="0"/>
          <w:numId w:val="2"/>
        </w:numPr>
        <w:spacing w:after="40" w:before="40"/>
      </w:pPr>
      <w:r>
        <w:rPr>
          <w:rFonts w:ascii="Arial" w:cs="Arial" w:eastAsia="Arial" w:hAnsi="Arial"/>
          <w:sz w:val="22"/>
          <w:szCs w:val="22"/>
        </w:rPr>
        <w:t xml:space="preserve">Step 3.2: Train separate policies for each embodiment from the same 3D source. Measure: does policy quality track contact quality, or does it also depend on embodiment-specific retargeting artifacts?</w:t>
      </w:r>
    </w:p>
    <w:p>
      <w:pPr>
        <w:pStyle w:val="ListParagraph"/>
        <w:numPr>
          <w:ilvl w:val="0"/>
          <w:numId w:val="2"/>
        </w:numPr>
        <w:spacing w:after="40" w:before="40"/>
      </w:pPr>
      <w:r>
        <w:rPr>
          <w:rFonts w:ascii="Arial" w:cs="Arial" w:eastAsia="Arial" w:hAnsi="Arial"/>
          <w:sz w:val="22"/>
          <w:szCs w:val="22"/>
        </w:rPr>
        <w:t xml:space="preserve">Step 3.3: Explore FAAS-style action space unification (from UniDex). Can we define a functional alignment of Inspire and LEAP finger actuators that enables partial weight sharing in the policy?</w:t>
      </w:r>
    </w:p>
    <w:p>
      <w:pPr>
        <w:pStyle w:val="ListParagraph"/>
        <w:numPr>
          <w:ilvl w:val="0"/>
          <w:numId w:val="2"/>
        </w:numPr>
        <w:spacing w:after="40" w:before="40"/>
      </w:pPr>
      <w:r>
        <w:rPr>
          <w:rFonts w:ascii="Arial" w:cs="Arial" w:eastAsia="Arial" w:hAnsi="Arial"/>
          <w:sz w:val="22"/>
          <w:szCs w:val="22"/>
        </w:rPr>
        <w:t xml:space="preserve">Deliverable: Demonstration that one 3D reconstruction run → multiple robot embodiments. This is the core product story.</w:t>
      </w:r>
    </w:p>
    <w:p>
      <w:pPr>
        <w:pStyle w:val="Heading2"/>
        <w:spacing w:after="80" w:before="280"/>
      </w:pPr>
      <w:r>
        <w:rPr>
          <w:rFonts w:ascii="Arial" w:cs="Arial" w:eastAsia="Arial" w:hAnsi="Arial"/>
          <w:b/>
          <w:bCs/>
          <w:sz w:val="26"/>
          <w:szCs w:val="26"/>
        </w:rPr>
        <w:t xml:space="preserve">Phase 4 — Force Estimation (Research, 6+ weeks)</w:t>
      </w:r>
    </w:p>
    <w:p>
      <w:pPr>
        <w:spacing w:after="100" w:before="60"/>
      </w:pPr>
      <w:r>
        <w:rPr>
          <w:rFonts w:ascii="Arial" w:cs="Arial" w:eastAsia="Arial" w:hAnsi="Arial"/>
          <w:sz w:val="22"/>
          <w:szCs w:val="22"/>
        </w:rPr>
        <w:t xml:space="preserve">This is the long-term differentiator. Current retargeting is kinematically correct but force-unaware. Adding even coarse force estimates to the universal intermediate transforms it from a kinematic dataset to a full interaction dataset.</w:t>
      </w:r>
    </w:p>
    <w:p>
      <w:pPr>
        <w:pStyle w:val="ListParagraph"/>
        <w:numPr>
          <w:ilvl w:val="0"/>
          <w:numId w:val="2"/>
        </w:numPr>
        <w:spacing w:after="40" w:before="40"/>
      </w:pPr>
      <w:r>
        <w:rPr>
          <w:rFonts w:ascii="Arial" w:cs="Arial" w:eastAsia="Arial" w:hAnsi="Arial"/>
          <w:sz w:val="22"/>
          <w:szCs w:val="22"/>
        </w:rPr>
        <w:t xml:space="preserve">Step 4.1: Literature review of physics-constrained force estimation from monocular video. Start with Zhu et al. (arXiv 2111.01591) and build forward.</w:t>
      </w:r>
    </w:p>
    <w:p>
      <w:pPr>
        <w:pStyle w:val="ListParagraph"/>
        <w:numPr>
          <w:ilvl w:val="0"/>
          <w:numId w:val="2"/>
        </w:numPr>
        <w:spacing w:after="40" w:before="40"/>
      </w:pPr>
      <w:r>
        <w:rPr>
          <w:rFonts w:ascii="Arial" w:cs="Arial" w:eastAsia="Arial" w:hAnsi="Arial"/>
          <w:sz w:val="22"/>
          <w:szCs w:val="22"/>
        </w:rPr>
        <w:t xml:space="preserve">Step 4.2: Explore fingernail deformation as a force proxy. Human fingernails deform visibly under significant contact forces; this is the non-tactile signal most accessible in egocentric video.</w:t>
      </w:r>
    </w:p>
    <w:p>
      <w:pPr>
        <w:pStyle w:val="ListParagraph"/>
        <w:numPr>
          <w:ilvl w:val="0"/>
          <w:numId w:val="2"/>
        </w:numPr>
        <w:spacing w:after="40" w:before="40"/>
      </w:pPr>
      <w:r>
        <w:rPr>
          <w:rFonts w:ascii="Arial" w:cs="Arial" w:eastAsia="Arial" w:hAnsi="Arial"/>
          <w:sz w:val="22"/>
          <w:szCs w:val="22"/>
        </w:rPr>
        <w:t xml:space="preserve">Step 4.3: Physics simulation grounding. Given 3D hand + object mesh + trajectory, use MuJoCo to back-estimate the forces required to produce the observed motion under gravity and friction. This gives noisy but plausible force estimates without any video-based force model.</w:t>
      </w:r>
    </w:p>
    <w:p>
      <w:pPr>
        <w:pStyle w:val="ListParagraph"/>
        <w:numPr>
          <w:ilvl w:val="0"/>
          <w:numId w:val="2"/>
        </w:numPr>
        <w:spacing w:after="40" w:before="40"/>
      </w:pPr>
      <w:r>
        <w:rPr>
          <w:rFonts w:ascii="Arial" w:cs="Arial" w:eastAsia="Arial" w:hAnsi="Arial"/>
          <w:sz w:val="22"/>
          <w:szCs w:val="22"/>
        </w:rPr>
        <w:t xml:space="preserve">Deliverable: Research report on force estimation feasibility. If feasible, a prototype force annotation pipeline for a subset of EgoDex episodes.</w:t>
      </w:r>
    </w:p>
    <w:p>
      <w:pPr>
        <w:pBdr>
          <w:bottom w:val="single" w:color="CCCCCC" w:sz="4" w:space="1"/>
        </w:pBdr>
        <w:spacing w:after="200" w:before="200"/>
      </w:pPr>
    </w:p>
    <w:p>
      <w:pPr>
        <w:pStyle w:val="Heading1"/>
        <w:spacing w:after="120" w:before="360"/>
      </w:pPr>
      <w:r>
        <w:rPr>
          <w:rFonts w:ascii="Arial" w:cs="Arial" w:eastAsia="Arial" w:hAnsi="Arial"/>
          <w:b/>
          <w:bCs/>
          <w:sz w:val="32"/>
          <w:szCs w:val="32"/>
        </w:rPr>
        <w:t xml:space="preserve">6.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rPr>
          <w:tblHeader/>
        </w:trPr>
        <w:tc>
          <w:tcPr>
            <w:tcW w:type="dxa" w:w="22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22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46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Tool</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IK wrist error (median)</w:t>
            </w:r>
          </w:p>
        </w:tc>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Kinematic retargeting fidelity</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&lt; 5mm (already achieved at 96.8%)</w:t>
            </w:r>
          </w:p>
        </w:tc>
        <w:tc>
          <w:tcPr>
            <w:tcW w:type="dxa" w:w="24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mink IK + forward kinematics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Finger retargeting JSD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Distribution match between human and robot finger configs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0.005 mean (currently at 0.005)</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KL divergence on joint angle distributions</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Grasp disturbance success rate</w:t>
            </w:r>
          </w:p>
        </w:tc>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Physical validity of reconstructed grasps</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&gt; 60% (VideoManip: 63.75%)</w:t>
            </w:r>
          </w:p>
        </w:tc>
        <w:tc>
          <w:tcPr>
            <w:tcW w:type="dxa" w:w="24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IsaacGym 6-direction force test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Policy success rate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manipulation quality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50% (currently 10%)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robot / LeRobot eval</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Generalization to novel objects</w:t>
            </w:r>
          </w:p>
        </w:tc>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Whether EgoBridge alignment enables transfer</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Non-zero (baselines: 0%)</w:t>
            </w:r>
          </w:p>
        </w:tc>
        <w:tc>
          <w:tcPr>
            <w:tcW w:type="dxa" w:w="24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Hold out object categories from robot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plausibility score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Interpenetration rate + contact coverage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 interpenetration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Mesh-mesh distance computation</w:t>
            </w:r>
          </w:p>
        </w:tc>
      </w:tr>
    </w:tbl>
    <w:p>
      <w:pPr>
        <w:spacing w:before="200"/>
      </w:pPr>
    </w:p>
    <w:p>
      <w:pPr>
        <w:pBdr>
          <w:bottom w:val="single" w:color="CCCCCC" w:sz="4" w:space="1"/>
        </w:pBdr>
        <w:spacing w:after="200" w:before="200"/>
      </w:pPr>
    </w:p>
    <w:p>
      <w:pPr>
        <w:pStyle w:val="Heading1"/>
        <w:spacing w:after="120" w:before="360"/>
      </w:pPr>
      <w:r>
        <w:rPr>
          <w:rFonts w:ascii="Arial" w:cs="Arial" w:eastAsia="Arial" w:hAnsi="Arial"/>
          <w:b/>
          <w:bCs/>
          <w:sz w:val="32"/>
          <w:szCs w:val="32"/>
        </w:rPr>
        <w:t xml:space="preserve">7. Open Questions</w:t>
      </w:r>
    </w:p>
    <w:p>
      <w:pPr>
        <w:pStyle w:val="Heading2"/>
        <w:spacing w:after="80" w:before="280"/>
      </w:pPr>
      <w:r>
        <w:rPr>
          <w:rFonts w:ascii="Arial" w:cs="Arial" w:eastAsia="Arial" w:hAnsi="Arial"/>
          <w:b/>
          <w:bCs/>
          <w:sz w:val="26"/>
          <w:szCs w:val="26"/>
        </w:rPr>
        <w:t xml:space="preserve">Technical</w:t>
      </w:r>
    </w:p>
    <w:p>
      <w:pPr>
        <w:pStyle w:val="ListParagraph"/>
        <w:numPr>
          <w:ilvl w:val="0"/>
          <w:numId w:val="2"/>
        </w:numPr>
        <w:spacing w:after="40" w:before="40"/>
      </w:pPr>
      <w:r>
        <w:rPr>
          <w:rFonts w:ascii="Arial" w:cs="Arial" w:eastAsia="Arial" w:hAnsi="Arial"/>
          <w:sz w:val="22"/>
          <w:szCs w:val="22"/>
        </w:rPr>
        <w:t xml:space="preserve">How much does monocular depth (MoGe-2) vs. RGB-D depth affect contact map quality? VideoManip uses monocular. HOT3D has ground truth depth. Worth ablating.</w:t>
      </w:r>
    </w:p>
    <w:p>
      <w:pPr>
        <w:pStyle w:val="ListParagraph"/>
        <w:numPr>
          <w:ilvl w:val="0"/>
          <w:numId w:val="2"/>
        </w:numPr>
        <w:spacing w:after="40" w:before="40"/>
      </w:pPr>
      <w:r>
        <w:rPr>
          <w:rFonts w:ascii="Arial" w:cs="Arial" w:eastAsia="Arial" w:hAnsi="Arial"/>
          <w:sz w:val="22"/>
          <w:szCs w:val="22"/>
        </w:rPr>
        <w:t xml:space="preserve">Does FAAS-style functional actuator alignment generalize beyond the eight hands UniDex tested? Specifically: does it work for the Inspire → LEAP transfer with different finger count and geometry?</w:t>
      </w:r>
    </w:p>
    <w:p>
      <w:pPr>
        <w:pStyle w:val="ListParagraph"/>
        <w:numPr>
          <w:ilvl w:val="0"/>
          <w:numId w:val="2"/>
        </w:numPr>
        <w:spacing w:after="40" w:before="40"/>
      </w:pPr>
      <w:r>
        <w:rPr>
          <w:rFonts w:ascii="Arial" w:cs="Arial" w:eastAsia="Arial" w:hAnsi="Arial"/>
          <w:sz w:val="22"/>
          <w:szCs w:val="22"/>
        </w:rPr>
        <w:t xml:space="preserve">What is the right action granularity for DTW pairing in high-DoF settings? We propose wrist-only DTW, but this is unvalidated.</w:t>
      </w:r>
    </w:p>
    <w:p>
      <w:pPr>
        <w:pStyle w:val="ListParagraph"/>
        <w:numPr>
          <w:ilvl w:val="0"/>
          <w:numId w:val="2"/>
        </w:numPr>
        <w:spacing w:after="40" w:before="40"/>
      </w:pPr>
      <w:r>
        <w:rPr>
          <w:rFonts w:ascii="Arial" w:cs="Arial" w:eastAsia="Arial" w:hAnsi="Arial"/>
          <w:sz w:val="22"/>
          <w:szCs w:val="22"/>
        </w:rPr>
        <w:t xml:space="preserve">At what scale does the 3D reconstruction pipeline break? VideoManip used ~20-30 carefully recorded videos. Internet-scale egocentric video will have much more noise. Need a quality filter / trajectory verification module (VideoManip acknowledges this limitation explicitly).</w:t>
      </w:r>
    </w:p>
    <w:p>
      <w:pPr>
        <w:pStyle w:val="Heading2"/>
        <w:spacing w:after="80" w:before="280"/>
      </w:pPr>
      <w:r>
        <w:rPr>
          <w:rFonts w:ascii="Arial" w:cs="Arial" w:eastAsia="Arial" w:hAnsi="Arial"/>
          <w:b/>
          <w:bCs/>
          <w:sz w:val="26"/>
          <w:szCs w:val="26"/>
        </w:rPr>
        <w:t xml:space="preserve">Product / Business</w:t>
      </w:r>
    </w:p>
    <w:p>
      <w:pPr>
        <w:pStyle w:val="ListParagraph"/>
        <w:numPr>
          <w:ilvl w:val="0"/>
          <w:numId w:val="2"/>
        </w:numPr>
        <w:spacing w:after="40" w:before="40"/>
      </w:pPr>
      <w:r>
        <w:rPr>
          <w:rFonts w:ascii="Arial" w:cs="Arial" w:eastAsia="Arial" w:hAnsi="Arial"/>
          <w:sz w:val="22"/>
          <w:szCs w:val="22"/>
        </w:rPr>
        <w:t xml:space="preserve">What is the right API surface for Fidelity Dynamics clients? Do they consume (a) raw 3D mesh sequences, (b) retargeted robot trajectories for their specific URDF, or (c) trained policies? Each is a different product.</w:t>
      </w:r>
    </w:p>
    <w:p>
      <w:pPr>
        <w:pStyle w:val="ListParagraph"/>
        <w:numPr>
          <w:ilvl w:val="0"/>
          <w:numId w:val="2"/>
        </w:numPr>
        <w:spacing w:after="40" w:before="40"/>
      </w:pPr>
      <w:r>
        <w:rPr>
          <w:rFonts w:ascii="Arial" w:cs="Arial" w:eastAsia="Arial" w:hAnsi="Arial"/>
          <w:sz w:val="22"/>
          <w:szCs w:val="22"/>
        </w:rPr>
        <w:t xml:space="preserve">For parallel-jaw gripper clients (majority of current customers): the 3D mesh intermediate is over-engineered. Do we expose a simplified pipeline, or do we always go through the full 3D layer for consistency?</w:t>
      </w:r>
    </w:p>
    <w:p>
      <w:pPr>
        <w:pStyle w:val="ListParagraph"/>
        <w:numPr>
          <w:ilvl w:val="0"/>
          <w:numId w:val="2"/>
        </w:numPr>
        <w:spacing w:after="40" w:before="40"/>
      </w:pPr>
      <w:r>
        <w:rPr>
          <w:rFonts w:ascii="Arial" w:cs="Arial" w:eastAsia="Arial" w:hAnsi="Arial"/>
          <w:sz w:val="22"/>
          <w:szCs w:val="22"/>
        </w:rPr>
        <w:t xml:space="preserve">Competitive positioning: UniDex (CVPR 2026, open-sourced) covers similar ground on the dataset side. Our differentiator is: (1) RGB-only input (no depth sensor required), (2) in-the-wild video support, (3) EgoBridge latent alignment, (4) future force annotations.</w:t>
      </w:r>
    </w:p>
    <w:p>
      <w:pPr>
        <w:pBdr>
          <w:bottom w:val="single" w:color="CCCCCC" w:sz="4" w:space="1"/>
        </w:pBdr>
        <w:spacing w:after="200" w:before="200"/>
      </w:pPr>
    </w:p>
    <w:p>
      <w:pPr>
        <w:pStyle w:val="Heading1"/>
        <w:spacing w:after="120" w:before="360"/>
      </w:pPr>
      <w:r>
        <w:rPr>
          <w:rFonts w:ascii="Arial" w:cs="Arial" w:eastAsia="Arial" w:hAnsi="Arial"/>
          <w:b/>
          <w:bCs/>
          <w:sz w:val="32"/>
          <w:szCs w:val="32"/>
        </w:rPr>
        <w:t xml:space="preserve">8. Prioritized Reading List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460"/>
      </w:tblGrid>
      <w:tr>
        <w:trPr>
          <w:tblHeader/>
        </w:trPr>
        <w:tc>
          <w:tcPr>
            <w:tcW w:type="dxa" w:w="28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Paper</w:t>
            </w:r>
          </w:p>
        </w:tc>
        <w:tc>
          <w:tcPr>
            <w:tcW w:type="dxa" w:w="15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46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VideoManip (arXiv 2602.09013)</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P0 — read this week</w:t>
            </w:r>
          </w:p>
        </w:tc>
        <w:tc>
          <w:tcPr>
            <w:tcW w:type="dxa" w:w="44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Directly implements the kinematic gap closure we're building. Study ContactOpt integration and DemoGen.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EgoBridge (arXiv 2509.19626)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 — read this week</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Our perceptual gap closure strategy. Understand OT + DTW mechanism before implementing.</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UniDex (arXiv 2603.22264)</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P0 — read this week</w:t>
            </w:r>
          </w:p>
        </w:tc>
        <w:tc>
          <w:tcPr>
            <w:tcW w:type="dxa" w:w="44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Most similar to our end goal. FAAS action space design is directly adoptable. Open-sourced.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ContactOpt (arXiv 2012.04100)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 — before Phase 1</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Implementation reference for contact-aware retargeting.</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AnyTeleop (arXiv 2307.04577)</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P1 — before Phase 1</w:t>
            </w:r>
          </w:p>
        </w:tc>
        <w:tc>
          <w:tcPr>
            <w:tcW w:type="dxa" w:w="44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Our existing retargeting baseline. Understand what we're replacing / augmenting.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EgoMimic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 — after EgoBridge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Predecessor to EgoBridge. Understand the co-training baseline before the aligned version.</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Zhu et al. force estimation (arXiv 2111.01591)</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P2 — before Phase 4</w:t>
            </w:r>
          </w:p>
        </w:tc>
        <w:tc>
          <w:tcPr>
            <w:tcW w:type="dxa" w:w="44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Foundation for force estimation from video. Physics-constrained approach.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HOT3D dataset paper (CVPR 2025)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Understanding what ground-truth 3D annotations look like for validation.</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EgoVLA (arXiv 2507.12440)</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P2</w:t>
            </w:r>
          </w:p>
        </w:tc>
        <w:tc>
          <w:tcPr>
            <w:tcW w:type="dxa" w:w="44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Third architectural path: VLA pre-training on human video. Compare against EgoBridge alignment.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MoGe-2 (arXiv 2507.02546)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Monocular metric depth backbone. Understand accuracy limits for hand-object alignment.</w:t>
            </w:r>
          </w:p>
        </w:tc>
      </w:tr>
    </w:tbl>
    <w:p>
      <w:pPr>
        <w:spacing w:before="300"/>
      </w:pPr>
    </w:p>
    <w:p>
      <w:pPr>
        <w:pBdr>
          <w:bottom w:val="single" w:color="CCCCCC" w:sz="4" w:space="1"/>
        </w:pBdr>
        <w:spacing w:after="200" w:before="200"/>
      </w:pPr>
    </w:p>
    <w:p>
      <w:pPr>
        <w:spacing w:before="200"/>
        <w:jc w:val="center"/>
      </w:pPr>
      <w:r>
        <w:rPr>
          <w:rFonts w:ascii="Arial" w:cs="Arial" w:eastAsia="Arial" w:hAnsi="Arial"/>
          <w:color w:val="888888"/>
          <w:sz w:val="18"/>
          <w:szCs w:val="18"/>
        </w:rPr>
        <w:t xml:space="preserve">Fidelity Dynamics — Internal  |  Last updated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6B"/>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2026-04-24T22:14:27.562Z</dcterms:created>
  <dcterms:modified xsi:type="dcterms:W3CDTF">2026-04-24T22:14:27.563Z</dcterms:modified>
</cp:coreProperties>
</file>

<file path=docProps/custom.xml><?xml version="1.0" encoding="utf-8"?>
<Properties xmlns="http://schemas.openxmlformats.org/officeDocument/2006/custom-properties" xmlns:vt="http://schemas.openxmlformats.org/officeDocument/2006/docPropsVTypes"/>
</file>