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3888"/>
                  </w:pPr>
                </w:p>
                <w:p>
                  <w:pPr>
                    <w:spacing w:after="100" w:line="828" w:lineRule="atLeast"/>
                  </w:pPr>
                  <w:r>
                    <w:rPr>
                      <w:rFonts w:ascii="Arial" w:eastAsia="SimHei"/>
                      <w:b/>
                      <w:bCs/>
                      <w:color w:val="FFFFFF"/>
                      <w:sz w:val="72"/>
                      <w:szCs w:val="72"/>
                    </w:rPr>
                    <w:t xml:space="preserve">校企共建“沸石基矿物材料教</w:t>
                  </w:r>
                </w:p>
                <w:p>
                  <w:pPr>
                    <w:spacing w:after="200" w:line="828" w:lineRule="atLeast"/>
                  </w:pPr>
                  <w:r>
                    <w:rPr>
                      <w:rFonts w:ascii="Arial" w:eastAsia="SimHei"/>
                      <w:b/>
                      <w:bCs/>
                      <w:color w:val="FFFFFF"/>
                      <w:sz w:val="72"/>
                      <w:szCs w:val="72"/>
                    </w:rPr>
                    <w:t xml:space="preserve">授工作站”及产学研合作方案书</w:t>
                  </w:r>
                </w:p>
                <w:p>
                  <w:pPr>
                    <w:spacing w:after="100"/>
                  </w:pPr>
                  <w:r>
                    <w:rPr>
                      <w:rFonts w:ascii="Arial" w:eastAsia="Microsoft YaHei"/>
                      <w:color w:val="B0B8C0"/>
                      <w:sz w:val="24"/>
                      <w:szCs w:val="24"/>
                    </w:rPr>
                    <w:t xml:space="preserve">沸石基复合混配料产学研合作项目</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tc>
            </w:tr>
          </w:tbl>
          <w:p>
            <w:pPr>
              <w:spacing w:before="800"/>
            </w:pPr>
          </w:p>
          <w:p>
            <w:pPr>
              <w:spacing w:after="100"/>
              <w:ind w:left="1200"/>
            </w:pPr>
            <w:r>
              <w:rPr>
                <w:rFonts w:ascii="Arial" w:eastAsia="Microsoft YaHei"/>
                <w:color w:val="90989F"/>
                <w:sz w:val="28"/>
                <w:szCs w:val="28"/>
              </w:rPr>
              <w:t xml:space="preserve">编制日期：2026年6月7日</w:t>
            </w:r>
          </w:p>
          <w:p>
            <w:pPr>
              <w:spacing w:after="100"/>
              <w:ind w:left="1200"/>
            </w:pPr>
            <w:r>
              <w:rPr>
                <w:rFonts w:ascii="Arial" w:eastAsia="Microsoft YaHei"/>
                <w:color w:val="90989F"/>
                <w:sz w:val="28"/>
                <w:szCs w:val="28"/>
              </w:rPr>
              <w:t xml:space="preserve">北京农学院 · 重点实验室</w:t>
            </w:r>
          </w:p>
          <w:p>
            <w:pPr>
              <w:spacing w:after="100"/>
              <w:ind w:left="1200"/>
            </w:pPr>
            <w:r>
              <w:rPr>
                <w:rFonts w:ascii="Arial" w:eastAsia="Microsoft YaHei"/>
                <w:color w:val="90989F"/>
                <w:sz w:val="28"/>
                <w:szCs w:val="28"/>
              </w:rPr>
              <w:t xml:space="preserve">沸石山集团</w:t>
            </w:r>
          </w:p>
          <w:p>
            <w:pPr>
              <w:spacing w:before="2000"/>
            </w:pPr>
          </w:p>
          <w:p>
            <w:pPr>
              <w:ind w:left="1200"/>
            </w:pPr>
            <w:r>
              <w:rPr>
                <w:color w:val="909090"/>
                <w:sz w:val="22"/>
                <w:szCs w:val="22"/>
              </w:rPr>
              <w:t xml:space="preserve">北京农学院</w:t>
            </w:r>
            <w:r>
              <w:t xml:space="preserve">          </w:t>
            </w:r>
            <w:r>
              <w:rPr>
                <w:color w:val="909090"/>
                <w:sz w:val="22"/>
                <w:szCs w:val="22"/>
              </w:rPr>
              <w:t xml:space="preserve">沸石山集团</w:t>
            </w:r>
          </w:p>
        </w:tc>
      </w:tr>
    </w:tbl>
    <w:p>
      <w:pPr>
        <w:sectPr>
          <w:pgSz w:w="11906" w:h="16838" w:orient="portrait"/>
          <w:pgMar w:top="0" w:right="0" w:bottom="0" w:left="0" w:header="708" w:footer="708" w:gutter="0"/>
          <w:pgNumType/>
          <w:docGrid w:linePitch="360"/>
        </w:sectPr>
      </w:pPr>
    </w:p>
    <w:p>
      <w:pPr>
        <w:spacing w:after="400" w:line="312"/>
        <w:jc w:val="center"/>
      </w:pPr>
      <w:r>
        <w:rPr>
          <w:rFonts w:ascii="Times New Roman" w:eastAsia="SimHei"/>
          <w:b/>
          <w:bCs/>
          <w:color w:val="000000"/>
          <w:sz w:val="36"/>
          <w:szCs w:val="36"/>
        </w:rPr>
        <w:t xml:space="preserve">目  录</w:t>
      </w:r>
    </w:p>
    <w:sdt>
      <w:sdtPr>
        <w:alias w:val="目录"/>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一、项目摘要</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二、立项背景与战略意义</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2.1 产业痛点</w:t>
            </w:r>
            <w:r>
              <w:tab/>
            </w:r>
            <w:r>
              <w:fldChar w:fldCharType="begin"/>
            </w:r>
            <w:r>
              <w:instrText xml:space="preserve"> PAGEREF _Toc100002 \h </w:instrText>
            </w:r>
            <w:r>
              <w:fldChar w:fldCharType="separate"/>
            </w:r>
            <w:r>
              <w:t>1</w:t>
            </w:r>
            <w:r>
              <w:fldChar w:fldCharType="end"/>
            </w:r>
          </w:hyperlink>
        </w:p>
        <w:p>
          <w:pPr>
            <w:pStyle w:val="11"/>
            <w:ind w:left="360"/>
            <w:tabs>
              <w:tab w:val="right" w:leader="dot" w:pos="9026"/>
            </w:tabs>
            <w:spacing w:before="120" w:after="60"/>
          </w:pPr>
          <w:hyperlink w:anchor="_Toc100003" w:history="1">
            <w:r>
              <w:rPr>
                <w:rStyle w:val="Hyperlink"/>
              </w:rPr>
              <w:t>2.2 学术前沿</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政策红利</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三、工作站运行机制</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3.1 组织架构</w:t>
            </w:r>
            <w:r>
              <w:tab/>
            </w:r>
            <w:r>
              <w:fldChar w:fldCharType="begin"/>
            </w:r>
            <w:r>
              <w:instrText xml:space="preserve"> PAGEREF _Toc100006 \h </w:instrText>
            </w:r>
            <w:r>
              <w:fldChar w:fldCharType="separate"/>
            </w:r>
            <w:r>
              <w:t>2</w:t>
            </w:r>
            <w:r>
              <w:fldChar w:fldCharType="end"/>
            </w:r>
          </w:hyperlink>
        </w:p>
        <w:p>
          <w:pPr>
            <w:pStyle w:val="11"/>
            <w:ind w:left="360"/>
            <w:tabs>
              <w:tab w:val="right" w:leader="dot" w:pos="9026"/>
            </w:tabs>
            <w:spacing w:before="120" w:after="60"/>
          </w:pPr>
          <w:hyperlink w:anchor="_Toc100007" w:history="1">
            <w:r>
              <w:rPr>
                <w:rStyle w:val="Hyperlink"/>
              </w:rPr>
              <w:t>3.2 双导师制</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3.3 研究生培养路径</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3.4 在地化就业闭环</w:t>
            </w:r>
            <w:r>
              <w:tab/>
            </w:r>
            <w:r>
              <w:fldChar w:fldCharType="begin"/>
            </w:r>
            <w:r>
              <w:instrText xml:space="preserve"> PAGEREF _Toc100009 \h </w:instrText>
            </w:r>
            <w:r>
              <w:fldChar w:fldCharType="separate"/>
            </w:r>
            <w:r>
              <w:t>3</w:t>
            </w:r>
            <w:r>
              <w:fldChar w:fldCharType="end"/>
            </w:r>
          </w:hyperlink>
        </w:p>
        <w:p>
          <w:pPr>
            <w:pStyle w:val="9"/>
            <w:tabs>
              <w:tab w:val="right" w:leader="dot" w:pos="9026"/>
            </w:tabs>
            <w:spacing w:before="120" w:after="60"/>
          </w:pPr>
          <w:hyperlink w:anchor="_Toc100010" w:history="1">
            <w:r>
              <w:rPr>
                <w:rStyle w:val="Hyperlink"/>
              </w:rPr>
              <w:t>四、核心任务矩阵（“3+2”架构）</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4.1 “3+2”架构的逻辑说明</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4.2 五组统一对照体系</w:t>
            </w:r>
            <w:r>
              <w:tab/>
            </w:r>
            <w:r>
              <w:fldChar w:fldCharType="begin"/>
            </w:r>
            <w:r>
              <w:instrText xml:space="preserve"> PAGEREF _Toc100012 \h </w:instrText>
            </w:r>
            <w:r>
              <w:fldChar w:fldCharType="separate"/>
            </w:r>
            <w:r>
              <w:t>4</w:t>
            </w:r>
            <w:r>
              <w:fldChar w:fldCharType="end"/>
            </w:r>
          </w:hyperlink>
        </w:p>
        <w:p>
          <w:pPr>
            <w:pStyle w:val="9"/>
            <w:tabs>
              <w:tab w:val="right" w:leader="dot" w:pos="9026"/>
            </w:tabs>
            <w:spacing w:before="120" w:after="60"/>
          </w:pPr>
          <w:hyperlink w:anchor="_Toc100013" w:history="1">
            <w:r>
              <w:rPr>
                <w:rStyle w:val="Hyperlink"/>
              </w:rPr>
              <w:t>五、研究生课题矩阵</w:t>
            </w:r>
            <w:r>
              <w:tab/>
            </w:r>
            <w:r>
              <w:fldChar w:fldCharType="begin"/>
            </w:r>
            <w:r>
              <w:instrText xml:space="preserve"> PAGEREF _Toc100013 \h </w:instrText>
            </w:r>
            <w:r>
              <w:fldChar w:fldCharType="separate"/>
            </w:r>
            <w:r>
              <w:t>4</w:t>
            </w:r>
            <w:r>
              <w:fldChar w:fldCharType="end"/>
            </w:r>
          </w:hyperlink>
        </w:p>
        <w:p>
          <w:pPr>
            <w:pStyle w:val="11"/>
            <w:ind w:left="360"/>
            <w:tabs>
              <w:tab w:val="right" w:leader="dot" w:pos="9026"/>
            </w:tabs>
            <w:spacing w:before="120" w:after="60"/>
          </w:pPr>
          <w:hyperlink w:anchor="_Toc100014" w:history="1">
            <w:r>
              <w:rPr>
                <w:rStyle w:val="Hyperlink"/>
              </w:rPr>
              <w:t>课题一：沸石基复合混配料重塑根际微生态抑制土传病害的机制研究</w:t>
            </w:r>
            <w:r>
              <w:tab/>
            </w:r>
            <w:r>
              <w:fldChar w:fldCharType="begin"/>
            </w:r>
            <w:r>
              <w:instrText xml:space="preserve"> PAGEREF _Toc100014 \h </w:instrText>
            </w:r>
            <w:r>
              <w:fldChar w:fldCharType="separate"/>
            </w:r>
            <w:r>
              <w:t>4</w:t>
            </w:r>
            <w:r>
              <w:fldChar w:fldCharType="end"/>
            </w:r>
          </w:hyperlink>
        </w:p>
        <w:p>
          <w:pPr>
            <w:pStyle w:val="12"/>
            <w:ind w:left="720"/>
            <w:tabs>
              <w:tab w:val="right" w:leader="dot" w:pos="9026"/>
            </w:tabs>
            <w:spacing w:before="120" w:after="60"/>
          </w:pPr>
          <w:hyperlink w:anchor="_Toc100015" w:history="1">
            <w:r>
              <w:rPr>
                <w:rStyle w:val="Hyperlink"/>
              </w:rPr>
              <w:t>科学问题</w:t>
            </w:r>
            <w:r>
              <w:tab/>
            </w:r>
            <w:r>
              <w:fldChar w:fldCharType="begin"/>
            </w:r>
            <w:r>
              <w:instrText xml:space="preserve"> PAGEREF _Toc100015 \h </w:instrText>
            </w:r>
            <w:r>
              <w:fldChar w:fldCharType="separate"/>
            </w:r>
            <w:r>
              <w:t>5</w:t>
            </w:r>
            <w:r>
              <w:fldChar w:fldCharType="end"/>
            </w:r>
          </w:hyperlink>
        </w:p>
        <w:p>
          <w:pPr>
            <w:pStyle w:val="12"/>
            <w:ind w:left="720"/>
            <w:tabs>
              <w:tab w:val="right" w:leader="dot" w:pos="9026"/>
            </w:tabs>
            <w:spacing w:before="120" w:after="60"/>
          </w:pPr>
          <w:hyperlink w:anchor="_Toc100016" w:history="1">
            <w:r>
              <w:rPr>
                <w:rStyle w:val="Hyperlink"/>
              </w:rPr>
              <w:t>研究内容</w:t>
            </w:r>
            <w:r>
              <w:tab/>
            </w:r>
            <w:r>
              <w:fldChar w:fldCharType="begin"/>
            </w:r>
            <w:r>
              <w:instrText xml:space="preserve"> PAGEREF _Toc100016 \h </w:instrText>
            </w:r>
            <w:r>
              <w:fldChar w:fldCharType="separate"/>
            </w:r>
            <w:r>
              <w:t>5</w:t>
            </w:r>
            <w:r>
              <w:fldChar w:fldCharType="end"/>
            </w:r>
          </w:hyperlink>
        </w:p>
        <w:p>
          <w:pPr>
            <w:pStyle w:val="12"/>
            <w:ind w:left="720"/>
            <w:tabs>
              <w:tab w:val="right" w:leader="dot" w:pos="9026"/>
            </w:tabs>
            <w:spacing w:before="120" w:after="60"/>
          </w:pPr>
          <w:hyperlink w:anchor="_Toc100017" w:history="1">
            <w:r>
              <w:rPr>
                <w:rStyle w:val="Hyperlink"/>
              </w:rPr>
              <w:t>SCI论文创新点</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课题二：沸石基复合混配料激活作物系统获得性抗性（SAR）的转录-代谢多组学解析</w:t>
            </w:r>
            <w:r>
              <w:tab/>
            </w:r>
            <w:r>
              <w:fldChar w:fldCharType="begin"/>
            </w:r>
            <w:r>
              <w:instrText xml:space="preserve"> PAGEREF _Toc100018 \h </w:instrText>
            </w:r>
            <w:r>
              <w:fldChar w:fldCharType="separate"/>
            </w:r>
            <w:r>
              <w:t>6</w:t>
            </w:r>
            <w:r>
              <w:fldChar w:fldCharType="end"/>
            </w:r>
          </w:hyperlink>
        </w:p>
        <w:p>
          <w:pPr>
            <w:pStyle w:val="12"/>
            <w:ind w:left="720"/>
            <w:tabs>
              <w:tab w:val="right" w:leader="dot" w:pos="9026"/>
            </w:tabs>
            <w:spacing w:before="120" w:after="60"/>
          </w:pPr>
          <w:hyperlink w:anchor="_Toc100019" w:history="1">
            <w:r>
              <w:rPr>
                <w:rStyle w:val="Hyperlink"/>
              </w:rPr>
              <w:t>科学问题</w:t>
            </w:r>
            <w:r>
              <w:tab/>
            </w:r>
            <w:r>
              <w:fldChar w:fldCharType="begin"/>
            </w:r>
            <w:r>
              <w:instrText xml:space="preserve"> PAGEREF _Toc100019 \h </w:instrText>
            </w:r>
            <w:r>
              <w:fldChar w:fldCharType="separate"/>
            </w:r>
            <w:r>
              <w:t>6</w:t>
            </w:r>
            <w:r>
              <w:fldChar w:fldCharType="end"/>
            </w:r>
          </w:hyperlink>
        </w:p>
        <w:p>
          <w:pPr>
            <w:pStyle w:val="12"/>
            <w:ind w:left="720"/>
            <w:tabs>
              <w:tab w:val="right" w:leader="dot" w:pos="9026"/>
            </w:tabs>
            <w:spacing w:before="120" w:after="60"/>
          </w:pPr>
          <w:hyperlink w:anchor="_Toc100020" w:history="1">
            <w:r>
              <w:rPr>
                <w:rStyle w:val="Hyperlink"/>
              </w:rPr>
              <w:t>研究内容</w:t>
            </w:r>
            <w:r>
              <w:tab/>
            </w:r>
            <w:r>
              <w:fldChar w:fldCharType="begin"/>
            </w:r>
            <w:r>
              <w:instrText xml:space="preserve"> PAGEREF _Toc100020 \h </w:instrText>
            </w:r>
            <w:r>
              <w:fldChar w:fldCharType="separate"/>
            </w:r>
            <w:r>
              <w:t>6</w:t>
            </w:r>
            <w:r>
              <w:fldChar w:fldCharType="end"/>
            </w:r>
          </w:hyperlink>
        </w:p>
        <w:p>
          <w:pPr>
            <w:pStyle w:val="12"/>
            <w:ind w:left="720"/>
            <w:tabs>
              <w:tab w:val="right" w:leader="dot" w:pos="9026"/>
            </w:tabs>
            <w:spacing w:before="120" w:after="60"/>
          </w:pPr>
          <w:hyperlink w:anchor="_Toc100021" w:history="1">
            <w:r>
              <w:rPr>
                <w:rStyle w:val="Hyperlink"/>
              </w:rPr>
              <w:t>SCI论文创新点</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课题三：采前沸石基复合混配料调控果实细胞壁代谢与抗氧化网络的保鲜机制</w:t>
            </w:r>
            <w:r>
              <w:tab/>
            </w:r>
            <w:r>
              <w:fldChar w:fldCharType="begin"/>
            </w:r>
            <w:r>
              <w:instrText xml:space="preserve"> PAGEREF _Toc100022 \h </w:instrText>
            </w:r>
            <w:r>
              <w:fldChar w:fldCharType="separate"/>
            </w:r>
            <w:r>
              <w:t>7</w:t>
            </w:r>
            <w:r>
              <w:fldChar w:fldCharType="end"/>
            </w:r>
          </w:hyperlink>
        </w:p>
        <w:p>
          <w:pPr>
            <w:pStyle w:val="12"/>
            <w:ind w:left="720"/>
            <w:tabs>
              <w:tab w:val="right" w:leader="dot" w:pos="9026"/>
            </w:tabs>
            <w:spacing w:before="120" w:after="60"/>
          </w:pPr>
          <w:hyperlink w:anchor="_Toc100023" w:history="1">
            <w:r>
              <w:rPr>
                <w:rStyle w:val="Hyperlink"/>
              </w:rPr>
              <w:t>科学问题</w:t>
            </w:r>
            <w:r>
              <w:tab/>
            </w:r>
            <w:r>
              <w:fldChar w:fldCharType="begin"/>
            </w:r>
            <w:r>
              <w:instrText xml:space="preserve"> PAGEREF _Toc100023 \h </w:instrText>
            </w:r>
            <w:r>
              <w:fldChar w:fldCharType="separate"/>
            </w:r>
            <w:r>
              <w:t>7</w:t>
            </w:r>
            <w:r>
              <w:fldChar w:fldCharType="end"/>
            </w:r>
          </w:hyperlink>
        </w:p>
        <w:p>
          <w:pPr>
            <w:pStyle w:val="12"/>
            <w:ind w:left="720"/>
            <w:tabs>
              <w:tab w:val="right" w:leader="dot" w:pos="9026"/>
            </w:tabs>
            <w:spacing w:before="120" w:after="60"/>
          </w:pPr>
          <w:hyperlink w:anchor="_Toc100024" w:history="1">
            <w:r>
              <w:rPr>
                <w:rStyle w:val="Hyperlink"/>
              </w:rPr>
              <w:t>研究内容</w:t>
            </w:r>
            <w:r>
              <w:tab/>
            </w:r>
            <w:r>
              <w:fldChar w:fldCharType="begin"/>
            </w:r>
            <w:r>
              <w:instrText xml:space="preserve"> PAGEREF _Toc100024 \h </w:instrText>
            </w:r>
            <w:r>
              <w:fldChar w:fldCharType="separate"/>
            </w:r>
            <w:r>
              <w:t>8</w:t>
            </w:r>
            <w:r>
              <w:fldChar w:fldCharType="end"/>
            </w:r>
          </w:hyperlink>
        </w:p>
        <w:p>
          <w:pPr>
            <w:pStyle w:val="12"/>
            <w:ind w:left="720"/>
            <w:tabs>
              <w:tab w:val="right" w:leader="dot" w:pos="9026"/>
            </w:tabs>
            <w:spacing w:before="120" w:after="60"/>
          </w:pPr>
          <w:hyperlink w:anchor="_Toc100025" w:history="1">
            <w:r>
              <w:rPr>
                <w:rStyle w:val="Hyperlink"/>
              </w:rPr>
              <w:t>SCI论文创新点</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工程任务一：产品安全性评估与销售许可技术支撑</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工程任务二：多点田间示范与技术规程制定</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六、进度安排（36个月，3年建设期）</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第一年（M1-M12）：基础建设与机理探索</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第二年（M13-M24）：田间验证与数据深挖</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第三年（M25-M36）：成果凝练与产业落地</w:t>
            </w:r>
            <w:r>
              <w:tab/>
            </w:r>
            <w:r>
              <w:fldChar w:fldCharType="begin"/>
            </w:r>
            <w:r>
              <w:instrText xml:space="preserve"> PAGEREF _Toc100031 \h </w:instrText>
            </w:r>
            <w:r>
              <w:fldChar w:fldCharType="separate"/>
            </w:r>
            <w:r>
              <w:t>10</w:t>
            </w:r>
            <w:r>
              <w:fldChar w:fldCharType="end"/>
            </w:r>
          </w:hyperlink>
        </w:p>
        <w:p>
          <w:pPr>
            <w:pStyle w:val="9"/>
            <w:tabs>
              <w:tab w:val="right" w:leader="dot" w:pos="9026"/>
            </w:tabs>
            <w:spacing w:before="120" w:after="60"/>
          </w:pPr>
          <w:hyperlink w:anchor="_Toc100032" w:history="1">
            <w:r>
              <w:rPr>
                <w:rStyle w:val="Hyperlink"/>
              </w:rPr>
              <w:t>七、预期成果</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7.1 学术成果</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7.2 工程与产业成果</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7.3 人才培养成果</w:t>
            </w:r>
            <w:r>
              <w:tab/>
            </w:r>
            <w:r>
              <w:fldChar w:fldCharType="begin"/>
            </w:r>
            <w:r>
              <w:instrText xml:space="preserve"> PAGEREF _Toc100035 \h </w:instrText>
            </w:r>
            <w:r>
              <w:fldChar w:fldCharType="separate"/>
            </w:r>
            <w:r>
              <w:t>11</w:t>
            </w:r>
            <w:r>
              <w:fldChar w:fldCharType="end"/>
            </w:r>
          </w:hyperlink>
        </w:p>
        <w:p>
          <w:pPr>
            <w:pStyle w:val="9"/>
            <w:tabs>
              <w:tab w:val="right" w:leader="dot" w:pos="9026"/>
            </w:tabs>
            <w:spacing w:before="120" w:after="60"/>
          </w:pPr>
          <w:hyperlink w:anchor="_Toc100036" w:history="1">
            <w:r>
              <w:rPr>
                <w:rStyle w:val="Hyperlink"/>
              </w:rPr>
              <w:t>八、知识产权与风险管理</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8.1 知识产权</w:t>
            </w:r>
            <w:r>
              <w:tab/>
            </w:r>
            <w:r>
              <w:fldChar w:fldCharType="begin"/>
            </w:r>
            <w:r>
              <w:instrText xml:space="preserve"> PAGEREF _Toc100037 \h </w:instrText>
            </w:r>
            <w:r>
              <w:fldChar w:fldCharType="separate"/>
            </w:r>
            <w:r>
              <w:t>12</w:t>
            </w:r>
            <w:r>
              <w:fldChar w:fldCharType="end"/>
            </w:r>
          </w:hyperlink>
        </w:p>
        <w:p>
          <w:pPr>
            <w:pStyle w:val="12"/>
            <w:ind w:left="720"/>
            <w:tabs>
              <w:tab w:val="right" w:leader="dot" w:pos="9026"/>
            </w:tabs>
            <w:spacing w:before="120" w:after="60"/>
          </w:pPr>
          <w:hyperlink w:anchor="_Toc100038" w:history="1">
            <w:r>
              <w:rPr>
                <w:rStyle w:val="Hyperlink"/>
              </w:rPr>
              <w:t>背景知识产权</w:t>
            </w:r>
            <w:r>
              <w:tab/>
            </w:r>
            <w:r>
              <w:fldChar w:fldCharType="begin"/>
            </w:r>
            <w:r>
              <w:instrText xml:space="preserve"> PAGEREF _Toc100038 \h </w:instrText>
            </w:r>
            <w:r>
              <w:fldChar w:fldCharType="separate"/>
            </w:r>
            <w:r>
              <w:t>12</w:t>
            </w:r>
            <w:r>
              <w:fldChar w:fldCharType="end"/>
            </w:r>
          </w:hyperlink>
        </w:p>
        <w:p>
          <w:pPr>
            <w:pStyle w:val="12"/>
            <w:ind w:left="720"/>
            <w:tabs>
              <w:tab w:val="right" w:leader="dot" w:pos="9026"/>
            </w:tabs>
            <w:spacing w:before="120" w:after="60"/>
          </w:pPr>
          <w:hyperlink w:anchor="_Toc100039" w:history="1">
            <w:r>
              <w:rPr>
                <w:rStyle w:val="Hyperlink"/>
              </w:rPr>
              <w:t>前景知识产权</w:t>
            </w:r>
            <w:r>
              <w:tab/>
            </w:r>
            <w:r>
              <w:fldChar w:fldCharType="begin"/>
            </w:r>
            <w:r>
              <w:instrText xml:space="preserve"> PAGEREF _Toc100039 \h </w:instrText>
            </w:r>
            <w:r>
              <w:fldChar w:fldCharType="separate"/>
            </w:r>
            <w:r>
              <w:t>12</w:t>
            </w:r>
            <w:r>
              <w:fldChar w:fldCharType="end"/>
            </w:r>
          </w:hyperlink>
        </w:p>
        <w:p>
          <w:pPr>
            <w:pStyle w:val="12"/>
            <w:ind w:left="720"/>
            <w:tabs>
              <w:tab w:val="right" w:leader="dot" w:pos="9026"/>
            </w:tabs>
            <w:spacing w:before="120" w:after="60"/>
          </w:pPr>
          <w:hyperlink w:anchor="_Toc100040" w:history="1">
            <w:r>
              <w:rPr>
                <w:rStyle w:val="Hyperlink"/>
              </w:rPr>
              <w:t>论文发表预审机制</w:t>
            </w:r>
            <w:r>
              <w:tab/>
            </w:r>
            <w:r>
              <w:fldChar w:fldCharType="begin"/>
            </w:r>
            <w:r>
              <w:instrText xml:space="preserve"> PAGEREF _Toc100040 \h </w:instrText>
            </w:r>
            <w:r>
              <w:fldChar w:fldCharType="separate"/>
            </w:r>
            <w:r>
              <w:t>12</w:t>
            </w:r>
            <w:r>
              <w:fldChar w:fldCharType="end"/>
            </w:r>
          </w:hyperlink>
        </w:p>
        <w:p>
          <w:pPr>
            <w:pStyle w:val="11"/>
            <w:ind w:left="360"/>
            <w:tabs>
              <w:tab w:val="right" w:leader="dot" w:pos="9026"/>
            </w:tabs>
            <w:spacing w:before="120" w:after="60"/>
          </w:pPr>
          <w:hyperlink w:anchor="_Toc100041" w:history="1">
            <w:r>
              <w:rPr>
                <w:rStyle w:val="Hyperlink"/>
              </w:rPr>
              <w:t>8.2 风险管理</w:t>
            </w:r>
            <w:r>
              <w:tab/>
            </w:r>
            <w:r>
              <w:fldChar w:fldCharType="begin"/>
            </w:r>
            <w:r>
              <w:instrText xml:space="preserve"> PAGEREF _Toc100041 \h </w:instrText>
            </w:r>
            <w:r>
              <w:fldChar w:fldCharType="separate"/>
            </w:r>
            <w:r>
              <w:t>12</w:t>
            </w:r>
            <w:r>
              <w:fldChar w:fldCharType="end"/>
            </w:r>
          </w:hyperlink>
        </w:p>
        <w:p>
          <w:pPr>
            <w:pStyle w:val="11"/>
            <w:ind w:left="360"/>
            <w:tabs>
              <w:tab w:val="right" w:leader="dot" w:pos="9026"/>
            </w:tabs>
            <w:spacing w:before="120" w:after="60"/>
          </w:pPr>
          <w:hyperlink w:anchor="_Toc100042" w:history="1">
            <w:r>
              <w:rPr>
                <w:rStyle w:val="Hyperlink"/>
              </w:rPr>
              <w:t>8.3 田间试验极端气候应急预案</w:t>
            </w:r>
            <w:r>
              <w:tab/>
            </w:r>
            <w:r>
              <w:fldChar w:fldCharType="begin"/>
            </w:r>
            <w:r>
              <w:instrText xml:space="preserve"> PAGEREF _Toc100042 \h </w:instrText>
            </w:r>
            <w:r>
              <w:fldChar w:fldCharType="separate"/>
            </w:r>
            <w:r>
              <w:t>13</w:t>
            </w:r>
            <w:r>
              <w:fldChar w:fldCharType="end"/>
            </w:r>
          </w:hyperlink>
        </w:p>
        <w:p>
          <w:pPr>
            <w:pStyle w:val="9"/>
            <w:tabs>
              <w:tab w:val="right" w:leader="dot" w:pos="9026"/>
            </w:tabs>
            <w:spacing w:before="120" w:after="60"/>
          </w:pPr>
          <w:hyperlink w:anchor="_Toc100043" w:history="1">
            <w:r>
              <w:rPr>
                <w:rStyle w:val="Hyperlink"/>
              </w:rPr>
              <w:t>参考文献</w:t>
            </w:r>
            <w:r>
              <w:tab/>
            </w:r>
            <w:r>
              <w:fldChar w:fldCharType="begin"/>
            </w:r>
            <w:r>
              <w:instrText xml:space="preserve"> PAGEREF _Toc100043 \h </w:instrText>
            </w:r>
            <w:r>
              <w:fldChar w:fldCharType="separate"/>
            </w:r>
            <w:r>
              <w:t>13</w:t>
            </w:r>
            <w:r>
              <w:fldChar w:fldCharType="end"/>
            </w:r>
          </w:hyperlink>
        </w:p>
        <w:p>
          <w:r>
            <w:fldChar w:fldCharType="end"/>
          </w:r>
        </w:p>
      </w:sdtContent>
    </w:sdt>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SimHei"/>
          <w:b/>
          <w:bCs/>
          <w:color w:val="000000"/>
          <w:sz w:val="32"/>
          <w:szCs w:val="32"/>
        </w:rPr>
        <w:t xml:space="preserve">一、项目摘要</w:t>
      </w:r>
      <w:bookmarkEnd w:id="100000"/>
    </w:p>
    <w:p>
      <w:pPr>
        <w:spacing w:after="80" w:line="312"/>
        <w:ind w:firstLine="480"/>
        <w:jc w:val="both"/>
      </w:pPr>
      <w:r>
        <w:rPr>
          <w:rFonts w:ascii="Times New Roman" w:eastAsia="SimSun"/>
          <w:color w:val="000000"/>
          <w:sz w:val="24"/>
          <w:szCs w:val="24"/>
        </w:rPr>
        <w:t xml:space="preserve">本项目以沸石山集团已产业化的成型沸石基复合混配料为研究对象，依托北京农学院重点实验室的科研平台与人才优势，校企共建“沸石基矿物材料教授工作站”。项目不涉及新配方研发——企业的核心任务已完成（材料成型与量产），科研方的核心任务是应用机制解析与多场景效能验证。</w:t>
      </w:r>
    </w:p>
    <w:p>
      <w:pPr>
        <w:spacing w:after="80" w:line="312"/>
        <w:ind w:firstLine="480"/>
        <w:jc w:val="both"/>
      </w:pPr>
      <w:r>
        <w:rPr>
          <w:rFonts w:ascii="Times New Roman" w:eastAsia="SimSun"/>
          <w:color w:val="000000"/>
          <w:sz w:val="24"/>
          <w:szCs w:val="24"/>
        </w:rPr>
        <w:t xml:space="preserve">项目严格采用“3+2”任务架构：3个核心科研课题（分别聚焦土传病害根际微生态、作物抗逆分子机制、果品采前采后保鲜生理）承担机理深挖与研究生培养职能，确保每个课题具备发表中科院二区以上SCI论文的学术深度；2个工程与合规任务（安全性评估与销售许可技术支撑、田间示范与技术规程制定）承担产品合规与市场落地职能。科研课题“保学术”，工程任务“保商业”，两者数据互通、逻辑闭环。</w:t>
      </w:r>
    </w:p>
    <w:p>
      <w:pPr>
        <w:pStyle w:val="Heading1"/>
        <w:spacing w:after="160" w:before="360" w:line="312"/>
      </w:pPr>
      <w:bookmarkStart w:id="100001" w:name="_Toc100001"/>
      <w:r>
        <w:rPr>
          <w:rFonts w:ascii="Times New Roman" w:eastAsia="SimHei"/>
          <w:b/>
          <w:bCs/>
          <w:color w:val="000000"/>
          <w:sz w:val="32"/>
          <w:szCs w:val="32"/>
        </w:rPr>
        <w:t xml:space="preserve">二、立项背景与战略意义</w:t>
      </w:r>
      <w:bookmarkEnd w:id="100001"/>
    </w:p>
    <w:p>
      <w:pPr>
        <w:pStyle w:val="Heading2"/>
        <w:spacing w:after="120" w:before="240" w:line="312"/>
      </w:pPr>
      <w:bookmarkStart w:id="100002" w:name="_Toc100002"/>
      <w:r>
        <w:rPr>
          <w:rFonts w:ascii="Times New Roman" w:eastAsia="SimHei"/>
          <w:b/>
          <w:bCs/>
          <w:color w:val="000000"/>
          <w:sz w:val="28"/>
          <w:szCs w:val="28"/>
        </w:rPr>
        <w:t xml:space="preserve">2.1 产业痛点</w:t>
      </w:r>
      <w:bookmarkEnd w:id="100002"/>
    </w:p>
    <w:p>
      <w:pPr>
        <w:spacing w:after="80" w:line="312"/>
        <w:ind w:firstLine="480"/>
        <w:jc w:val="both"/>
      </w:pPr>
      <w:r>
        <w:rPr>
          <w:rFonts w:ascii="Times New Roman" w:eastAsia="SimSun"/>
          <w:color w:val="000000"/>
          <w:sz w:val="24"/>
          <w:szCs w:val="24"/>
        </w:rPr>
        <w:t xml:space="preserve">土传病害（镰刀菌枯萎病、青枯病、疫霉根腐病）每年造成我国设施蔬菜15%-30%的产量损失。传统化学防治面临抗药性加剧、农药残留超标和土壤微生态崩溃的三重困境。矿物基土壤调理剂因其物理作用机制（不易产生抗性）和环境友好特性，被列入农业农村部《耕地质量保护与提升行动方案》重点推广方向。</w:t>
      </w:r>
    </w:p>
    <w:p>
      <w:pPr>
        <w:spacing w:after="80" w:line="312"/>
        <w:ind w:firstLine="480"/>
        <w:jc w:val="both"/>
      </w:pPr>
      <w:r>
        <w:rPr>
          <w:rFonts w:ascii="Times New Roman" w:eastAsia="SimSun"/>
          <w:color w:val="000000"/>
          <w:sz w:val="24"/>
          <w:szCs w:val="24"/>
        </w:rPr>
        <w:t xml:space="preserve">沸石山集团已完成沸石基复合混配料（沸石-蒙脱石-稀土-腐植酸四元体系）的配方定型与中试量产，持有合法采矿许可证，具备从原矿开采到产品加工的全产业链能力。然而产品面临“三缺”困境：（1）缺机理——各组分独立贡献与协同效应缺乏严格的解耦实验证据，无法支撑高水平学术发表；（2）缺数据——缺乏符合国际规范的田间多地点多年份验证数据，难以进入农业技术推广目录；（3）缺标准——缺乏基于国标的第三方安全合规报告，销售许可申报受阻。</w:t>
      </w:r>
    </w:p>
    <w:p>
      <w:pPr>
        <w:pStyle w:val="Heading2"/>
        <w:spacing w:after="120" w:before="240" w:line="312"/>
      </w:pPr>
      <w:bookmarkStart w:id="100003" w:name="_Toc100003"/>
      <w:r>
        <w:rPr>
          <w:rFonts w:ascii="Times New Roman" w:eastAsia="SimHei"/>
          <w:b/>
          <w:bCs/>
          <w:color w:val="000000"/>
          <w:sz w:val="28"/>
          <w:szCs w:val="28"/>
        </w:rPr>
        <w:t xml:space="preserve">2.2 学术前沿</w:t>
      </w:r>
      <w:bookmarkEnd w:id="100003"/>
    </w:p>
    <w:p>
      <w:pPr>
        <w:spacing w:after="80" w:line="312"/>
        <w:ind w:firstLine="480"/>
        <w:jc w:val="both"/>
      </w:pPr>
      <w:r>
        <w:rPr>
          <w:rFonts w:ascii="Times New Roman" w:eastAsia="SimSun"/>
          <w:color w:val="000000"/>
          <w:sz w:val="24"/>
          <w:szCs w:val="24"/>
        </w:rPr>
        <w:t xml:space="preserve">矿物材料与植物-微生物互作领域正处于学术爆发期。Science发表的根际微生物组病害抑制机制研究[1]、Microbiome揭示的噬菌体-青枯病抑制关联[3]、以及New Phytologist验证的改良剂→微生物群落重塑→抑病的因果链[6]，共同构建了本项目的学术理论基础。然而，现有研究多聚焦于生物炭或单一矿物，针对“沸石-蒙脱石-稀土-腐植酸”四元复合体系的多组学系统研究尚属空白，这正是本工作站确立学术制高点的窗口期。</w:t>
      </w:r>
    </w:p>
    <w:p>
      <w:pPr>
        <w:pStyle w:val="Heading2"/>
        <w:spacing w:after="120" w:before="240" w:line="312"/>
      </w:pPr>
      <w:bookmarkStart w:id="100004" w:name="_Toc100004"/>
      <w:r>
        <w:rPr>
          <w:rFonts w:ascii="Times New Roman" w:eastAsia="SimHei"/>
          <w:b/>
          <w:bCs/>
          <w:color w:val="000000"/>
          <w:sz w:val="28"/>
          <w:szCs w:val="28"/>
        </w:rPr>
        <w:t xml:space="preserve">2.3 政策红利</w:t>
      </w:r>
      <w:bookmarkEnd w:id="100004"/>
    </w:p>
    <w:p>
      <w:pPr>
        <w:spacing w:after="80" w:line="312"/>
        <w:ind w:firstLine="480"/>
        <w:jc w:val="both"/>
      </w:pPr>
      <w:r>
        <w:rPr>
          <w:rFonts w:ascii="Times New Roman" w:eastAsia="SimSun"/>
          <w:color w:val="000000"/>
          <w:sz w:val="24"/>
          <w:szCs w:val="24"/>
        </w:rPr>
        <w:t xml:space="preserve">本项目契合多层级政策支撑：科技部“十四五”重点研发计划——“北方障碍农田土壤改良与地力提升关键技术”方向；农业农村部——化肥农药减量增效行动（沸石保氮减少N2O排放契合双碳政策）；教育部——教授工作站/科技小院建设专项；地方政策——北京市“农业中关村”建设、教授工作站挂职与在地化人才培养。</w:t>
      </w:r>
    </w:p>
    <w:p>
      <w:pPr>
        <w:pStyle w:val="Heading1"/>
        <w:spacing w:after="160" w:before="360" w:line="312"/>
      </w:pPr>
      <w:bookmarkStart w:id="100005" w:name="_Toc100005"/>
      <w:r>
        <w:rPr>
          <w:rFonts w:ascii="Times New Roman" w:eastAsia="SimHei"/>
          <w:b/>
          <w:bCs/>
          <w:color w:val="000000"/>
          <w:sz w:val="32"/>
          <w:szCs w:val="32"/>
        </w:rPr>
        <w:t xml:space="preserve">三、工作站运行机制</w:t>
      </w:r>
      <w:bookmarkEnd w:id="100005"/>
    </w:p>
    <w:p>
      <w:pPr>
        <w:pStyle w:val="Heading2"/>
        <w:spacing w:after="120" w:before="240" w:line="312"/>
      </w:pPr>
      <w:bookmarkStart w:id="100006" w:name="_Toc100006"/>
      <w:r>
        <w:rPr>
          <w:rFonts w:ascii="Times New Roman" w:eastAsia="SimHei"/>
          <w:b/>
          <w:bCs/>
          <w:color w:val="000000"/>
          <w:sz w:val="28"/>
          <w:szCs w:val="28"/>
        </w:rPr>
        <w:t xml:space="preserve">3.1 组织架构</w:t>
      </w:r>
      <w:bookmarkEnd w:id="100006"/>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层级</w:t>
            </w:r>
          </w:p>
        </w:tc>
        <w:tc>
          <w:tcPr>
            <w:tcW w:type="pct" w:w="3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角色</w:t>
            </w:r>
          </w:p>
        </w:tc>
        <w:tc>
          <w:tcPr>
            <w:tcW w:type="pct" w:w="5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职责</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决策层</w:t>
            </w:r>
          </w:p>
        </w:tc>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站长（校内教授）</w:t>
            </w:r>
          </w:p>
        </w:tc>
        <w:tc>
          <w:tcPr>
            <w:tcW w:type="pct" w:w="5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全面负责工作站运行、课题统筹、成果产出</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决策层</w:t>
            </w:r>
          </w:p>
        </w:tc>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副站长（企业技术副总）</w:t>
            </w:r>
          </w:p>
        </w:tc>
        <w:tc>
          <w:tcPr>
            <w:tcW w:type="pct" w:w="5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协调企业资源、田间基地、产品技术支撑</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执行层</w:t>
            </w:r>
          </w:p>
        </w:tc>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3名硕士研究生</w:t>
            </w:r>
          </w:p>
        </w:tc>
        <w:tc>
          <w:tcPr>
            <w:tcW w:type="pct" w:w="5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承担3个核心科研课题（机理深挖）</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执行层</w:t>
            </w:r>
          </w:p>
        </w:tc>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2名企业工程师</w:t>
            </w:r>
          </w:p>
        </w:tc>
        <w:tc>
          <w:tcPr>
            <w:tcW w:type="pct" w:w="5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承担2个工程任务（安全评估+田间示范）</w:t>
            </w:r>
          </w:p>
        </w:tc>
      </w:tr>
    </w:tbl>
    <w:p>
      <w:pPr>
        <w:spacing w:after="120" w:before="60" w:line="280"/>
        <w:jc w:val="center"/>
      </w:pPr>
      <w:r>
        <w:rPr>
          <w:rFonts w:ascii="Times New Roman" w:eastAsia="SimSun"/>
          <w:color w:val="666666"/>
          <w:sz w:val="21"/>
          <w:szCs w:val="21"/>
        </w:rPr>
        <w:t xml:space="preserve">表 1  工作站组织架构</w:t>
      </w:r>
    </w:p>
    <w:p>
      <w:pPr>
        <w:pStyle w:val="Heading2"/>
        <w:spacing w:after="120" w:before="240" w:line="312"/>
      </w:pPr>
      <w:bookmarkStart w:id="100007" w:name="_Toc100007"/>
      <w:r>
        <w:rPr>
          <w:rFonts w:ascii="Times New Roman" w:eastAsia="SimHei"/>
          <w:b/>
          <w:bCs/>
          <w:color w:val="000000"/>
          <w:sz w:val="28"/>
          <w:szCs w:val="28"/>
        </w:rPr>
        <w:t xml:space="preserve">3.2 双导师制</w:t>
      </w:r>
      <w:bookmarkEnd w:id="10000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角色</w:t>
            </w:r>
          </w:p>
        </w:tc>
        <w:tc>
          <w:tcPr>
            <w:tcW w:type="pct" w:w="3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人员</w:t>
            </w:r>
          </w:p>
        </w:tc>
        <w:tc>
          <w:tcPr>
            <w:tcW w:type="pct" w:w="4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职责</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学术导师（第一导师）</w:t>
            </w:r>
          </w:p>
        </w:tc>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校内教授/副教授</w:t>
            </w:r>
          </w:p>
        </w:tc>
        <w:tc>
          <w:tcPr>
            <w:tcW w:type="pct" w:w="4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实验设计、数据分析、论文撰写指导、学位论文质量把控</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企业导师（第二导师）</w:t>
            </w:r>
          </w:p>
        </w:tc>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企业技术副总/高级工程师</w:t>
            </w:r>
          </w:p>
        </w:tc>
        <w:tc>
          <w:tcPr>
            <w:tcW w:type="pct" w:w="4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材料工艺解读、田间试验协调、产业需求对接、就业推荐</w:t>
            </w:r>
          </w:p>
        </w:tc>
      </w:tr>
    </w:tbl>
    <w:p>
      <w:pPr>
        <w:spacing w:after="120" w:before="60" w:line="280"/>
        <w:jc w:val="center"/>
      </w:pPr>
      <w:r>
        <w:rPr>
          <w:rFonts w:ascii="Times New Roman" w:eastAsia="SimSun"/>
          <w:color w:val="666666"/>
          <w:sz w:val="21"/>
          <w:szCs w:val="21"/>
        </w:rPr>
        <w:t xml:space="preserve">表 2  双导师制职责分工</w:t>
      </w:r>
    </w:p>
    <w:p>
      <w:pPr>
        <w:spacing w:after="80" w:line="312"/>
        <w:ind w:firstLine="480"/>
        <w:jc w:val="both"/>
      </w:pPr>
      <w:r>
        <w:rPr>
          <w:rFonts w:ascii="Times New Roman" w:eastAsia="SimSun"/>
          <w:color w:val="000000"/>
          <w:sz w:val="24"/>
          <w:szCs w:val="24"/>
        </w:rPr>
        <w:t xml:space="preserve">双导师每月至少举行一次联合组会（线上线下结合），确保研究生课题“真题真做”——既产出可发表的SCI数据，又解决企业产品推广中的真实技术障碍。</w:t>
      </w:r>
    </w:p>
    <w:p>
      <w:pPr>
        <w:pStyle w:val="Heading2"/>
        <w:spacing w:after="120" w:before="240" w:line="312"/>
      </w:pPr>
      <w:bookmarkStart w:id="100008" w:name="_Toc100008"/>
      <w:r>
        <w:rPr>
          <w:rFonts w:ascii="Times New Roman" w:eastAsia="SimHei"/>
          <w:b/>
          <w:bCs/>
          <w:color w:val="000000"/>
          <w:sz w:val="28"/>
          <w:szCs w:val="28"/>
        </w:rPr>
        <w:t xml:space="preserve">3.3 研究生培养路径</w:t>
      </w:r>
      <w:bookmarkEnd w:id="10000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阶段</w:t>
            </w:r>
          </w:p>
        </w:tc>
        <w:tc>
          <w:tcPr>
            <w:tcW w:type="pct" w:w="1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时间</w:t>
            </w:r>
          </w:p>
        </w:tc>
        <w:tc>
          <w:tcPr>
            <w:tcW w:type="pct" w:w="6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内容</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第一学年（校内为主）</w:t>
            </w:r>
          </w:p>
        </w:tc>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9–12月</w:t>
            </w:r>
          </w:p>
        </w:tc>
        <w:tc>
          <w:tcPr>
            <w:tcW w:type="pct" w:w="6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课程学习+文献综述+开题报告</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
            </w:r>
          </w:p>
        </w:tc>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1–2月</w:t>
            </w:r>
          </w:p>
        </w:tc>
        <w:tc>
          <w:tcPr>
            <w:tcW w:type="pct" w:w="6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企业驻站（2周）——熟悉产品工艺、采集材料基线数据</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
            </w:r>
          </w:p>
        </w:tc>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3–8月</w:t>
            </w:r>
          </w:p>
        </w:tc>
        <w:tc>
          <w:tcPr>
            <w:tcW w:type="pct" w:w="6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室内实验（材料表征+盆栽/培养皿试验）</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第二学年（驻站为主）</w:t>
            </w:r>
          </w:p>
        </w:tc>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9–12月</w:t>
            </w:r>
          </w:p>
        </w:tc>
        <w:tc>
          <w:tcPr>
            <w:tcW w:type="pct" w:w="6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田间试验（第一生长季）+企业驻站（累计≥3个月）</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
            </w:r>
          </w:p>
        </w:tc>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1–2月</w:t>
            </w:r>
          </w:p>
        </w:tc>
        <w:tc>
          <w:tcPr>
            <w:tcW w:type="pct" w:w="6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数据分析+中期考核</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
            </w:r>
          </w:p>
        </w:tc>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3–8月</w:t>
            </w:r>
          </w:p>
        </w:tc>
        <w:tc>
          <w:tcPr>
            <w:tcW w:type="pct" w:w="6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田间试验（第二生长季）+多组学送样与分析</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第三学年</w:t>
            </w:r>
          </w:p>
        </w:tc>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9–12月</w:t>
            </w:r>
          </w:p>
        </w:tc>
        <w:tc>
          <w:tcPr>
            <w:tcW w:type="pct" w:w="6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SCI论文撰写与投稿+企业驻站（规程制定）</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
            </w:r>
          </w:p>
        </w:tc>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1–3月</w:t>
            </w:r>
          </w:p>
        </w:tc>
        <w:tc>
          <w:tcPr>
            <w:tcW w:type="pct" w:w="6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学位论文撰写</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
            </w:r>
          </w:p>
        </w:tc>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4–6月</w:t>
            </w:r>
          </w:p>
        </w:tc>
        <w:tc>
          <w:tcPr>
            <w:tcW w:type="pct" w:w="6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答辩+就业对接</w:t>
            </w:r>
          </w:p>
        </w:tc>
      </w:tr>
    </w:tbl>
    <w:p>
      <w:pPr>
        <w:spacing w:after="120" w:before="60" w:line="280"/>
        <w:jc w:val="center"/>
      </w:pPr>
      <w:r>
        <w:rPr>
          <w:rFonts w:ascii="Times New Roman" w:eastAsia="SimSun"/>
          <w:color w:val="666666"/>
          <w:sz w:val="21"/>
          <w:szCs w:val="21"/>
        </w:rPr>
        <w:t xml:space="preserve">表 3  研究生培养路径</w:t>
      </w:r>
    </w:p>
    <w:p>
      <w:pPr>
        <w:pStyle w:val="Heading2"/>
        <w:spacing w:after="120" w:before="240" w:line="312"/>
      </w:pPr>
      <w:bookmarkStart w:id="100009" w:name="_Toc100009"/>
      <w:r>
        <w:rPr>
          <w:rFonts w:ascii="Times New Roman" w:eastAsia="SimHei"/>
          <w:b/>
          <w:bCs/>
          <w:color w:val="000000"/>
          <w:sz w:val="28"/>
          <w:szCs w:val="28"/>
        </w:rPr>
        <w:t xml:space="preserve">3.4 在地化就业闭环</w:t>
      </w:r>
      <w:bookmarkEnd w:id="100009"/>
    </w:p>
    <w:p>
      <w:pPr>
        <w:spacing w:after="80" w:line="312"/>
        <w:ind w:firstLine="480"/>
        <w:jc w:val="both"/>
      </w:pPr>
      <w:r>
        <w:rPr>
          <w:rFonts w:ascii="Times New Roman" w:eastAsia="SimSun"/>
          <w:color w:val="000000"/>
          <w:sz w:val="24"/>
          <w:szCs w:val="24"/>
        </w:rPr>
        <w:t xml:space="preserve">依托北京市“农业中关村”和教授工作站挂职政策，建立“培养-实习-就业”闭环：（1）研二驻站：研究生在企业试验基地完成田间试验，同步参与企业技术推广；（2）毕业出口：优先推荐至沸石山集团研发中心或技术推广部门就业，或推荐至合作农业园区担任技术主管，或推荐攻读博士学位；（3）政策加持：符合北京市高校毕业生基层就业政策的，协助申请落户加分和基层就业补贴。</w:t>
      </w:r>
    </w:p>
    <w:p>
      <w:pPr>
        <w:pStyle w:val="Heading1"/>
        <w:spacing w:after="160" w:before="360" w:line="312"/>
      </w:pPr>
      <w:bookmarkStart w:id="100010" w:name="_Toc100010"/>
      <w:r>
        <w:rPr>
          <w:rFonts w:ascii="Times New Roman" w:eastAsia="SimHei"/>
          <w:b/>
          <w:bCs/>
          <w:color w:val="000000"/>
          <w:sz w:val="32"/>
          <w:szCs w:val="32"/>
        </w:rPr>
        <w:t xml:space="preserve">四、核心任务矩阵（“3+2”架构）</w:t>
      </w:r>
      <w:bookmarkEnd w:id="100010"/>
    </w:p>
    <w:p>
      <w:pPr>
        <w:pStyle w:val="Heading2"/>
        <w:spacing w:after="120" w:before="240" w:line="312"/>
      </w:pPr>
      <w:bookmarkStart w:id="100011" w:name="_Toc100011"/>
      <w:r>
        <w:rPr>
          <w:rFonts w:ascii="Times New Roman" w:eastAsia="SimHei"/>
          <w:b/>
          <w:bCs/>
          <w:color w:val="000000"/>
          <w:sz w:val="28"/>
          <w:szCs w:val="28"/>
        </w:rPr>
        <w:t xml:space="preserve">4.1 “3+2”架构的逻辑说明</w:t>
      </w:r>
      <w:bookmarkEnd w:id="100011"/>
    </w:p>
    <w:p>
      <w:pPr>
        <w:spacing w:after="80" w:line="312"/>
        <w:ind w:firstLine="480"/>
        <w:jc w:val="both"/>
      </w:pPr>
      <w:r>
        <w:rPr>
          <w:rFonts w:ascii="Times New Roman" w:eastAsia="SimSun"/>
          <w:color w:val="000000"/>
          <w:sz w:val="24"/>
          <w:szCs w:val="24"/>
        </w:rPr>
        <w:t xml:space="preserve">本方案的核心任务严格划分为“3个研究生核心科研课题”和“2个企业工程与合规任务”。3个科研课题由研究生承担，聚焦于“为什么有效”的机理问题，共享同一个五组解耦对照体系但在科学问题上各有侧重——分别深挖根际微生态重塑（微生物组）、植物系统获得性抗性激活（转录组+代谢组）、以及果实细胞壁代谢与抗氧化网络（生理生化）。2个工程任务由企业工程师和科研团队共同承担，聚焦于“安不安全、能不能卖”的合规问题，数据直接来源于3个科研课题的产出。</w:t>
      </w:r>
    </w:p>
    <w:p>
      <w:pPr>
        <w:pStyle w:val="Heading2"/>
        <w:spacing w:after="120" w:before="240" w:line="312"/>
      </w:pPr>
      <w:bookmarkStart w:id="100012" w:name="_Toc100012"/>
      <w:r>
        <w:rPr>
          <w:rFonts w:ascii="Times New Roman" w:eastAsia="SimHei"/>
          <w:b/>
          <w:bCs/>
          <w:color w:val="000000"/>
          <w:sz w:val="28"/>
          <w:szCs w:val="28"/>
        </w:rPr>
        <w:t xml:space="preserve">4.2 五组统一对照体系</w:t>
      </w:r>
      <w:bookmarkEnd w:id="10001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代码</w:t>
            </w:r>
          </w:p>
        </w:tc>
        <w:tc>
          <w:tcPr>
            <w:tcW w:type="pct" w:w="18%"/>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处理组</w:t>
            </w:r>
          </w:p>
        </w:tc>
        <w:tc>
          <w:tcPr>
            <w:tcW w:type="pct" w:w="32%"/>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施用方案</w:t>
            </w:r>
          </w:p>
        </w:tc>
        <w:tc>
          <w:tcPr>
            <w:tcW w:type="pct" w:w="3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科学目的</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CK</w:t>
            </w:r>
          </w:p>
        </w:tc>
        <w:tc>
          <w:tcPr>
            <w:tcW w:type="pct" w:w="18%"/>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空白对照</w:t>
            </w:r>
          </w:p>
        </w:tc>
        <w:tc>
          <w:tcPr>
            <w:tcW w:type="pct" w:w="32%"/>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不施肥、不施药、不施任何调理剂</w:t>
            </w:r>
          </w:p>
        </w:tc>
        <w:tc>
          <w:tcPr>
            <w:tcW w:type="pct" w:w="3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确定试验系统的基线水平</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CF</w:t>
            </w:r>
          </w:p>
        </w:tc>
        <w:tc>
          <w:tcPr>
            <w:tcW w:type="pct" w:w="18%"/>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常规农艺对照</w:t>
            </w:r>
          </w:p>
        </w:tc>
        <w:tc>
          <w:tcPr>
            <w:tcW w:type="pct" w:w="32%"/>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当地推荐施肥量+常规化学农药防治</w:t>
            </w:r>
          </w:p>
        </w:tc>
        <w:tc>
          <w:tcPr>
            <w:tcW w:type="pct" w:w="3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量化产品相对于常规农艺的增效幅度</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Zeolite-only</w:t>
            </w:r>
          </w:p>
        </w:tc>
        <w:tc>
          <w:tcPr>
            <w:tcW w:type="pct" w:w="18%"/>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纯沸石对照</w:t>
            </w:r>
          </w:p>
        </w:tc>
        <w:tc>
          <w:tcPr>
            <w:tcW w:type="pct" w:w="32%"/>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等量未混配、未改性的沸石原矿粉</w:t>
            </w:r>
          </w:p>
        </w:tc>
        <w:tc>
          <w:tcPr>
            <w:tcW w:type="pct" w:w="3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解耦关键组：验证混配/改性工艺的必要性</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Competitor</w:t>
            </w:r>
          </w:p>
        </w:tc>
        <w:tc>
          <w:tcPr>
            <w:tcW w:type="pct" w:w="18%"/>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竞品对照</w:t>
            </w:r>
          </w:p>
        </w:tc>
        <w:tc>
          <w:tcPr>
            <w:tcW w:type="pct" w:w="32%"/>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市售同类主流矿物肥/土壤调理剂</w:t>
            </w:r>
          </w:p>
        </w:tc>
        <w:tc>
          <w:tcPr>
            <w:tcW w:type="pct" w:w="3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确立产品相对于市售竞品的竞争优势</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Full-formula</w:t>
            </w:r>
          </w:p>
        </w:tc>
        <w:tc>
          <w:tcPr>
            <w:tcW w:type="pct" w:w="18%"/>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全配方处理</w:t>
            </w:r>
          </w:p>
        </w:tc>
        <w:tc>
          <w:tcPr>
            <w:tcW w:type="pct" w:w="32%"/>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企业成型的沸石基复合混配料</w:t>
            </w:r>
          </w:p>
        </w:tc>
        <w:tc>
          <w:tcPr>
            <w:tcW w:type="pct" w:w="3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核心处理组：评估全配方的综合效果</w:t>
            </w:r>
          </w:p>
        </w:tc>
      </w:tr>
    </w:tbl>
    <w:p>
      <w:pPr>
        <w:spacing w:after="120" w:before="60" w:line="280"/>
        <w:jc w:val="center"/>
      </w:pPr>
      <w:r>
        <w:rPr>
          <w:rFonts w:ascii="Times New Roman" w:eastAsia="SimSun"/>
          <w:color w:val="666666"/>
          <w:sz w:val="21"/>
          <w:szCs w:val="21"/>
        </w:rPr>
        <w:t xml:space="preserve">表 4  五组统一对照体系</w:t>
      </w:r>
    </w:p>
    <w:p>
      <w:pPr>
        <w:spacing w:after="80" w:line="312"/>
        <w:ind w:firstLine="480"/>
        <w:jc w:val="both"/>
      </w:pPr>
      <w:r>
        <w:rPr>
          <w:rFonts w:ascii="Times New Roman" w:eastAsia="SimSun"/>
          <w:color w:val="000000"/>
          <w:sz w:val="24"/>
          <w:szCs w:val="24"/>
        </w:rPr>
        <w:t xml:space="preserve">解耦逻辑：Full-formula vs CK→全配方总效应；Full-formula vs CF→相对于常规农艺的净增益；Full-formula vs Zeolite-only→混配/稀土/腐植酸的协同增效；Full-formula vs Competitor→市场竞争优势；Zeolite-only vs CK→沸石基质的基础效应。</w:t>
      </w:r>
    </w:p>
    <w:p>
      <w:pPr>
        <w:pStyle w:val="Heading1"/>
        <w:spacing w:after="160" w:before="360" w:line="312"/>
      </w:pPr>
      <w:bookmarkStart w:id="100013" w:name="_Toc100013"/>
      <w:r>
        <w:rPr>
          <w:rFonts w:ascii="Times New Roman" w:eastAsia="SimHei"/>
          <w:b/>
          <w:bCs/>
          <w:color w:val="000000"/>
          <w:sz w:val="32"/>
          <w:szCs w:val="32"/>
        </w:rPr>
        <w:t xml:space="preserve">五、研究生课题矩阵</w:t>
      </w:r>
      <w:bookmarkEnd w:id="100013"/>
    </w:p>
    <w:p>
      <w:pPr>
        <w:pStyle w:val="Heading2"/>
        <w:spacing w:after="120" w:before="240" w:line="312"/>
      </w:pPr>
      <w:bookmarkStart w:id="100014" w:name="_Toc100014"/>
      <w:r>
        <w:rPr>
          <w:rFonts w:ascii="Times New Roman" w:eastAsia="SimHei"/>
          <w:b/>
          <w:bCs/>
          <w:color w:val="000000"/>
          <w:sz w:val="28"/>
          <w:szCs w:val="28"/>
        </w:rPr>
        <w:t xml:space="preserve">课题一：沸石基复合混配料重塑根际微生态抑制土传病害的机制研究</w:t>
      </w:r>
      <w:bookmarkEnd w:id="100014"/>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2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属性</w:t>
            </w:r>
          </w:p>
        </w:tc>
        <w:tc>
          <w:tcPr>
            <w:tcW w:type="pct" w:w="8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内容</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承担人</w:t>
            </w:r>
          </w:p>
        </w:tc>
        <w:tc>
          <w:tcPr>
            <w:tcW w:type="pct" w:w="8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硕士研究生 #1（学术型）</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学术导师</w:t>
            </w:r>
          </w:p>
        </w:tc>
        <w:tc>
          <w:tcPr>
            <w:tcW w:type="pct" w:w="8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陈艳 副教授/教授</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企业导师</w:t>
            </w:r>
          </w:p>
        </w:tc>
        <w:tc>
          <w:tcPr>
            <w:tcW w:type="pct" w:w="8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沸石山集团技术副总</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目标期刊</w:t>
            </w:r>
          </w:p>
        </w:tc>
        <w:tc>
          <w:tcPr>
            <w:tcW w:type="pct" w:w="8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Soil Biology and Biochemistry（中科院一区）或 Biology and Fertility of Soils（中科院二区）</w:t>
            </w:r>
          </w:p>
        </w:tc>
      </w:tr>
    </w:tbl>
    <w:p>
      <w:pPr>
        <w:spacing w:after="120" w:before="60" w:line="280"/>
        <w:jc w:val="center"/>
      </w:pPr>
      <w:r>
        <w:rPr>
          <w:rFonts w:ascii="Times New Roman" w:eastAsia="SimSun"/>
          <w:color w:val="666666"/>
          <w:sz w:val="21"/>
          <w:szCs w:val="21"/>
        </w:rPr>
        <w:t xml:space="preserve">表 5  课题一基本信息</w:t>
      </w:r>
    </w:p>
    <w:p>
      <w:pPr>
        <w:pStyle w:val="Heading3"/>
        <w:spacing w:after="100" w:before="200" w:line="312"/>
      </w:pPr>
      <w:bookmarkStart w:id="100015" w:name="_Toc100015"/>
      <w:r>
        <w:rPr>
          <w:rFonts w:ascii="Times New Roman" w:eastAsia="SimHei"/>
          <w:b/>
          <w:bCs/>
          <w:color w:val="000000"/>
          <w:sz w:val="24"/>
          <w:szCs w:val="24"/>
        </w:rPr>
        <w:t xml:space="preserve">科学问题</w:t>
      </w:r>
      <w:bookmarkEnd w:id="100015"/>
    </w:p>
    <w:p>
      <w:pPr>
        <w:spacing w:after="80" w:line="312"/>
        <w:ind w:firstLine="480"/>
        <w:jc w:val="both"/>
      </w:pPr>
      <w:r>
        <w:rPr>
          <w:rFonts w:ascii="Times New Roman" w:eastAsia="SimSun"/>
          <w:color w:val="000000"/>
          <w:sz w:val="24"/>
          <w:szCs w:val="24"/>
        </w:rPr>
        <w:t xml:space="preserve">沸石基复合混配料通过直接抑菌（离子缓释）和间接调控（根际微生态重塑）抑制土传病原菌——两者的相对贡献如何量化？</w:t>
      </w:r>
    </w:p>
    <w:p>
      <w:pPr>
        <w:pStyle w:val="Heading3"/>
        <w:spacing w:after="100" w:before="200" w:line="312"/>
      </w:pPr>
      <w:bookmarkStart w:id="100016" w:name="_Toc100016"/>
      <w:r>
        <w:rPr>
          <w:rFonts w:ascii="Times New Roman" w:eastAsia="SimHei"/>
          <w:b/>
          <w:bCs/>
          <w:color w:val="000000"/>
          <w:sz w:val="24"/>
          <w:szCs w:val="24"/>
        </w:rPr>
        <w:t xml:space="preserve">研究内容</w:t>
      </w:r>
      <w:bookmarkEnd w:id="100016"/>
    </w:p>
    <w:p>
      <w:pPr>
        <w:spacing w:after="80" w:line="312"/>
        <w:ind w:firstLine="480"/>
        <w:jc w:val="both"/>
      </w:pPr>
      <w:r>
        <w:rPr>
          <w:rFonts w:ascii="Times New Roman" w:eastAsia="SimSun"/>
          <w:color w:val="000000"/>
          <w:sz w:val="24"/>
          <w:szCs w:val="24"/>
        </w:rPr>
        <w:t xml:space="preserve">（1）材料独立本底检测：对企业提供的多批次混配料及沸石原矿进行XRD、SEM-EDS、FTIR、BET、CEC表征，采用ICP-MS检测重金属含量，对标GB 38400-2019，并进行批次均一性方差分析。</w:t>
      </w:r>
    </w:p>
    <w:p>
      <w:pPr>
        <w:spacing w:after="80" w:line="312"/>
        <w:ind w:firstLine="480"/>
        <w:jc w:val="both"/>
      </w:pPr>
      <w:r>
        <w:rPr>
          <w:rFonts w:ascii="Times New Roman" w:eastAsia="SimSun"/>
          <w:color w:val="000000"/>
          <w:sz w:val="24"/>
          <w:szCs w:val="24"/>
        </w:rPr>
        <w:t xml:space="preserve">（2）室内抑菌实验：五组对照×多种病原菌×多次重复，测定各处理组浸提液对目标病原菌的EC50和抑菌圈直径。</w:t>
      </w:r>
    </w:p>
    <w:p>
      <w:pPr>
        <w:spacing w:after="80" w:line="312"/>
        <w:ind w:firstLine="480"/>
        <w:jc w:val="both"/>
      </w:pPr>
      <w:r>
        <w:rPr>
          <w:rFonts w:ascii="Times New Roman" w:eastAsia="SimSun"/>
          <w:color w:val="000000"/>
          <w:sz w:val="24"/>
          <w:szCs w:val="24"/>
        </w:rPr>
        <w:t xml:space="preserve">（3）盆栽微生态实验：五组对照×多盆/处理，进行微生物组分析（16S rRNA扩增子测序、ASV聚类、多样性分析、LEfSe差异分析、PICRUSt2功能预测）、病原菌定量（属特异性qPCR）和土壤理化分析，冗余分析（RDA）解析微生物群落结构的关键环境驱动因子。</w:t>
      </w:r>
    </w:p>
    <w:p>
      <w:pPr>
        <w:spacing w:after="80" w:line="312"/>
        <w:ind w:firstLine="480"/>
        <w:jc w:val="both"/>
      </w:pPr>
      <w:r>
        <w:rPr>
          <w:rFonts w:ascii="Times New Roman" w:eastAsia="SimSun"/>
          <w:color w:val="000000"/>
          <w:sz w:val="24"/>
          <w:szCs w:val="24"/>
        </w:rPr>
        <w:t xml:space="preserve">（4）核心解耦分析：对比Full-formula和Zeolite-only处理下的差异ASV和差异代谢通路，鉴定“混配增效”的微生物标签类群，构建结构方程模型（SEM）量化各路径的标准化效应系数。</w:t>
      </w:r>
    </w:p>
    <w:p>
      <w:pPr>
        <w:pStyle w:val="Heading3"/>
        <w:spacing w:after="100" w:before="200" w:line="312"/>
      </w:pPr>
      <w:bookmarkStart w:id="100017" w:name="_Toc100017"/>
      <w:r>
        <w:rPr>
          <w:rFonts w:ascii="Times New Roman" w:eastAsia="SimHei"/>
          <w:b/>
          <w:bCs/>
          <w:color w:val="000000"/>
          <w:sz w:val="24"/>
          <w:szCs w:val="24"/>
        </w:rPr>
        <w:t xml:space="preserve">SCI论文创新点</w:t>
      </w:r>
      <w:bookmarkEnd w:id="100017"/>
    </w:p>
    <w:p>
      <w:pPr>
        <w:spacing w:after="80" w:line="312"/>
        <w:ind w:firstLine="480"/>
        <w:jc w:val="both"/>
      </w:pPr>
      <w:r>
        <w:rPr>
          <w:rFonts w:ascii="Times New Roman" w:eastAsia="SimSun"/>
          <w:color w:val="000000"/>
          <w:sz w:val="24"/>
          <w:szCs w:val="24"/>
        </w:rPr>
        <w:t xml:space="preserve">首次将SEM引入沸石基材料-根际微生态-土传病害抑制的因果分析，“混配增效”的微生物标签类群为文章的差异化贡献。</w:t>
      </w:r>
    </w:p>
    <w:p>
      <w:pPr>
        <w:pStyle w:val="Heading2"/>
        <w:spacing w:after="120" w:before="240" w:line="312"/>
      </w:pPr>
      <w:bookmarkStart w:id="100018" w:name="_Toc100018"/>
      <w:r>
        <w:rPr>
          <w:rFonts w:ascii="Times New Roman" w:eastAsia="SimHei"/>
          <w:b/>
          <w:bCs/>
          <w:color w:val="000000"/>
          <w:sz w:val="28"/>
          <w:szCs w:val="28"/>
        </w:rPr>
        <w:t xml:space="preserve">课题二：沸石基复合混配料激活作物系统获得性抗性（SAR）的转录-代谢多组学解析</w:t>
      </w:r>
      <w:bookmarkEnd w:id="100018"/>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2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属性</w:t>
            </w:r>
          </w:p>
        </w:tc>
        <w:tc>
          <w:tcPr>
            <w:tcW w:type="pct" w:w="8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内容</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承担人</w:t>
            </w:r>
          </w:p>
        </w:tc>
        <w:tc>
          <w:tcPr>
            <w:tcW w:type="pct" w:w="8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硕士研究生 #2（学术型）</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学术导师</w:t>
            </w:r>
          </w:p>
        </w:tc>
        <w:tc>
          <w:tcPr>
            <w:tcW w:type="pct" w:w="8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黄德 副教授/教授</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企业导师</w:t>
            </w:r>
          </w:p>
        </w:tc>
        <w:tc>
          <w:tcPr>
            <w:tcW w:type="pct" w:w="8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沸石山集团研发工程师</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目标期刊</w:t>
            </w:r>
          </w:p>
        </w:tc>
        <w:tc>
          <w:tcPr>
            <w:tcW w:type="pct" w:w="8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Journal of Agricultural and Food Chemistry（中科院一区）或 Plant Physiology and Biochemistry（中科院二区）</w:t>
            </w:r>
          </w:p>
        </w:tc>
      </w:tr>
    </w:tbl>
    <w:p>
      <w:pPr>
        <w:spacing w:after="120" w:before="60" w:line="280"/>
        <w:jc w:val="center"/>
      </w:pPr>
      <w:r>
        <w:rPr>
          <w:rFonts w:ascii="Times New Roman" w:eastAsia="SimSun"/>
          <w:color w:val="666666"/>
          <w:sz w:val="21"/>
          <w:szCs w:val="21"/>
        </w:rPr>
        <w:t xml:space="preserve">表 6  课题二基本信息</w:t>
      </w:r>
    </w:p>
    <w:p>
      <w:pPr>
        <w:pStyle w:val="Heading3"/>
        <w:spacing w:after="100" w:before="200" w:line="312"/>
      </w:pPr>
      <w:bookmarkStart w:id="100019" w:name="_Toc100019"/>
      <w:r>
        <w:rPr>
          <w:rFonts w:ascii="Times New Roman" w:eastAsia="SimHei"/>
          <w:b/>
          <w:bCs/>
          <w:color w:val="000000"/>
          <w:sz w:val="24"/>
          <w:szCs w:val="24"/>
        </w:rPr>
        <w:t xml:space="preserve">科学问题</w:t>
      </w:r>
      <w:bookmarkEnd w:id="100019"/>
    </w:p>
    <w:p>
      <w:pPr>
        <w:spacing w:after="80" w:line="312"/>
        <w:ind w:firstLine="480"/>
        <w:jc w:val="both"/>
      </w:pPr>
      <w:r>
        <w:rPr>
          <w:rFonts w:ascii="Times New Roman" w:eastAsia="SimSun"/>
          <w:color w:val="000000"/>
          <w:sz w:val="24"/>
          <w:szCs w:val="24"/>
        </w:rPr>
        <w:t xml:space="preserve">沸石基复合混配料中的稀土元素和腐植酸成分，是否独立于沸石基质效应，通过激活植物SAR/ISR信号通路增强作物抗逆性？若是，具体的分子靶标是什么？</w:t>
      </w:r>
    </w:p>
    <w:p>
      <w:pPr>
        <w:pStyle w:val="Heading3"/>
        <w:spacing w:after="100" w:before="200" w:line="312"/>
      </w:pPr>
      <w:bookmarkStart w:id="100020" w:name="_Toc100020"/>
      <w:r>
        <w:rPr>
          <w:rFonts w:ascii="Times New Roman" w:eastAsia="SimHei"/>
          <w:b/>
          <w:bCs/>
          <w:color w:val="000000"/>
          <w:sz w:val="24"/>
          <w:szCs w:val="24"/>
        </w:rPr>
        <w:t xml:space="preserve">研究内容</w:t>
      </w:r>
      <w:bookmarkEnd w:id="100020"/>
    </w:p>
    <w:p>
      <w:pPr>
        <w:spacing w:after="80" w:line="312"/>
        <w:ind w:firstLine="480"/>
        <w:jc w:val="both"/>
      </w:pPr>
      <w:r>
        <w:rPr>
          <w:rFonts w:ascii="Times New Roman" w:eastAsia="SimSun"/>
          <w:color w:val="000000"/>
          <w:sz w:val="24"/>
          <w:szCs w:val="24"/>
        </w:rPr>
        <w:t xml:space="preserve">（1）胁迫-处理正交实验：五组对照×干旱/盐碱胁迫×多次生物学重复，供试作物为水稻和番茄。</w:t>
      </w:r>
    </w:p>
    <w:p>
      <w:pPr>
        <w:spacing w:after="80" w:line="312"/>
        <w:ind w:firstLine="480"/>
        <w:jc w:val="both"/>
      </w:pPr>
      <w:r>
        <w:rPr>
          <w:rFonts w:ascii="Times New Roman" w:eastAsia="SimSun"/>
          <w:color w:val="000000"/>
          <w:sz w:val="24"/>
          <w:szCs w:val="24"/>
        </w:rPr>
        <w:t xml:space="preserve">（2）生理生化指标：叶片相对含水量、叶绿素含量、丙二醛、脯氨酸含量，抗氧化酶系统（SOD、POD、CAT、APX）活性，渗透调节物质。</w:t>
      </w:r>
    </w:p>
    <w:p>
      <w:pPr>
        <w:spacing w:after="80" w:line="312"/>
        <w:ind w:firstLine="480"/>
        <w:jc w:val="both"/>
      </w:pPr>
      <w:r>
        <w:rPr>
          <w:rFonts w:ascii="Times New Roman" w:eastAsia="SimSun"/>
          <w:color w:val="000000"/>
          <w:sz w:val="24"/>
          <w:szCs w:val="24"/>
        </w:rPr>
        <w:t xml:space="preserve">（3）转录组分析（RNA-seq）：对关键处理组胁迫前后的叶片进行转录组测序，筛选差异表达基因，重点分析SAR、ISR、ABA信号通路及类黄酮生物合成通路，通过Full-formula vs Zeolite-only的DEGs-GO/KEGG富集分析鉴定“稀土+腐植酸”独立激活的差异通路。</w:t>
      </w:r>
    </w:p>
    <w:p>
      <w:pPr>
        <w:spacing w:after="80" w:line="312"/>
        <w:ind w:firstLine="480"/>
        <w:jc w:val="both"/>
      </w:pPr>
      <w:r>
        <w:rPr>
          <w:rFonts w:ascii="Times New Roman" w:eastAsia="SimSun"/>
          <w:color w:val="000000"/>
          <w:sz w:val="24"/>
          <w:szCs w:val="24"/>
        </w:rPr>
        <w:t xml:space="preserve">（4）代谢组分析（LC-MS/MS非靶向代谢组）：靶向验证类黄酮、酚酸、氨基酸等关键代谢物，进行转录-代谢联合富集分析。</w:t>
      </w:r>
    </w:p>
    <w:p>
      <w:pPr>
        <w:pStyle w:val="Heading3"/>
        <w:spacing w:after="100" w:before="200" w:line="312"/>
      </w:pPr>
      <w:bookmarkStart w:id="100021" w:name="_Toc100021"/>
      <w:r>
        <w:rPr>
          <w:rFonts w:ascii="Times New Roman" w:eastAsia="SimHei"/>
          <w:b/>
          <w:bCs/>
          <w:color w:val="000000"/>
          <w:sz w:val="24"/>
          <w:szCs w:val="24"/>
        </w:rPr>
        <w:t xml:space="preserve">SCI论文创新点</w:t>
      </w:r>
      <w:bookmarkEnd w:id="100021"/>
    </w:p>
    <w:p>
      <w:pPr>
        <w:spacing w:after="80" w:line="312"/>
        <w:ind w:firstLine="480"/>
        <w:jc w:val="both"/>
      </w:pPr>
      <w:r>
        <w:rPr>
          <w:rFonts w:ascii="Times New Roman" w:eastAsia="SimSun"/>
          <w:color w:val="000000"/>
          <w:sz w:val="24"/>
          <w:szCs w:val="24"/>
        </w:rPr>
        <w:t xml:space="preserve">首次在“沸石/稀土/腐植酸”三元体系中，通过转录-代谢联合分析解耦“沸石基质效应”与“稀土/腐植酸信号激活效应”，鉴定SAR通路中受稀土/腐植酸特异性调控的关键转录因子。</w:t>
      </w:r>
    </w:p>
    <w:p>
      <w:pPr>
        <w:pStyle w:val="Heading2"/>
        <w:spacing w:after="120" w:before="240" w:line="312"/>
      </w:pPr>
      <w:bookmarkStart w:id="100022" w:name="_Toc100022"/>
      <w:r>
        <w:rPr>
          <w:rFonts w:ascii="Times New Roman" w:eastAsia="SimHei"/>
          <w:b/>
          <w:bCs/>
          <w:color w:val="000000"/>
          <w:sz w:val="28"/>
          <w:szCs w:val="28"/>
        </w:rPr>
        <w:t xml:space="preserve">课题三：采前沸石基复合混配料调控果实细胞壁代谢与抗氧化网络的保鲜机制</w:t>
      </w:r>
      <w:bookmarkEnd w:id="100022"/>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2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属性</w:t>
            </w:r>
          </w:p>
        </w:tc>
        <w:tc>
          <w:tcPr>
            <w:tcW w:type="pct" w:w="8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内容</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承担人</w:t>
            </w:r>
          </w:p>
        </w:tc>
        <w:tc>
          <w:tcPr>
            <w:tcW w:type="pct" w:w="8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硕士研究生 #3（学术型/专业型）</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学术导师</w:t>
            </w:r>
          </w:p>
        </w:tc>
        <w:tc>
          <w:tcPr>
            <w:tcW w:type="pct" w:w="8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待定教授（园艺/食品科学方向）</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企业导师</w:t>
            </w:r>
          </w:p>
        </w:tc>
        <w:tc>
          <w:tcPr>
            <w:tcW w:type="pct" w:w="8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沸石山集团田间技术主管</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目标期刊</w:t>
            </w:r>
          </w:p>
        </w:tc>
        <w:tc>
          <w:tcPr>
            <w:tcW w:type="pct" w:w="8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Postharvest Biology and Technology（中科院一区）或 Scientia Horticulturae（中科院二区）</w:t>
            </w:r>
          </w:p>
        </w:tc>
      </w:tr>
    </w:tbl>
    <w:p>
      <w:pPr>
        <w:spacing w:after="120" w:before="60" w:line="280"/>
        <w:jc w:val="center"/>
      </w:pPr>
      <w:r>
        <w:rPr>
          <w:rFonts w:ascii="Times New Roman" w:eastAsia="SimSun"/>
          <w:color w:val="666666"/>
          <w:sz w:val="21"/>
          <w:szCs w:val="21"/>
        </w:rPr>
        <w:t xml:space="preserve">表 7  课题三基本信息</w:t>
      </w:r>
    </w:p>
    <w:p>
      <w:pPr>
        <w:pStyle w:val="Heading3"/>
        <w:spacing w:after="100" w:before="200" w:line="312"/>
      </w:pPr>
      <w:bookmarkStart w:id="100023" w:name="_Toc100023"/>
      <w:r>
        <w:rPr>
          <w:rFonts w:ascii="Times New Roman" w:eastAsia="SimHei"/>
          <w:b/>
          <w:bCs/>
          <w:color w:val="000000"/>
          <w:sz w:val="24"/>
          <w:szCs w:val="24"/>
        </w:rPr>
        <w:t xml:space="preserve">科学问题</w:t>
      </w:r>
      <w:bookmarkEnd w:id="100023"/>
    </w:p>
    <w:p>
      <w:pPr>
        <w:spacing w:after="80" w:line="312"/>
        <w:ind w:firstLine="480"/>
        <w:jc w:val="both"/>
      </w:pPr>
      <w:r>
        <w:rPr>
          <w:rFonts w:ascii="Times New Roman" w:eastAsia="SimSun"/>
          <w:color w:val="000000"/>
          <w:sz w:val="24"/>
          <w:szCs w:val="24"/>
        </w:rPr>
        <w:t xml:space="preserve">采前施用沸石基复合混配料是否通过调控果实发育期的细胞壁代谢酶活性和抗氧化物质积累，在采后贮藏期间延缓果实软化、抑制氧化褐变？</w:t>
      </w:r>
    </w:p>
    <w:p>
      <w:pPr>
        <w:pStyle w:val="Heading3"/>
        <w:spacing w:after="100" w:before="200" w:line="312"/>
      </w:pPr>
      <w:bookmarkStart w:id="100024" w:name="_Toc100024"/>
      <w:r>
        <w:rPr>
          <w:rFonts w:ascii="Times New Roman" w:eastAsia="SimHei"/>
          <w:b/>
          <w:bCs/>
          <w:color w:val="000000"/>
          <w:sz w:val="24"/>
          <w:szCs w:val="24"/>
        </w:rPr>
        <w:t xml:space="preserve">研究内容</w:t>
      </w:r>
      <w:bookmarkEnd w:id="100024"/>
    </w:p>
    <w:p>
      <w:pPr>
        <w:spacing w:after="80" w:line="312"/>
        <w:ind w:firstLine="480"/>
        <w:jc w:val="both"/>
      </w:pPr>
      <w:r>
        <w:rPr>
          <w:rFonts w:ascii="Times New Roman" w:eastAsia="SimSun"/>
          <w:color w:val="000000"/>
          <w:sz w:val="24"/>
          <w:szCs w:val="24"/>
        </w:rPr>
        <w:t xml:space="preserve">（1）采前处理时间窗口实验：五组对照×多个发育期×多株/处理，供试作物为草莓（非跃变型）和番茄（跃变型对照）。</w:t>
      </w:r>
    </w:p>
    <w:p>
      <w:pPr>
        <w:spacing w:after="80" w:line="312"/>
        <w:ind w:firstLine="480"/>
        <w:jc w:val="both"/>
      </w:pPr>
      <w:r>
        <w:rPr>
          <w:rFonts w:ascii="Times New Roman" w:eastAsia="SimSun"/>
          <w:color w:val="000000"/>
          <w:sz w:val="24"/>
          <w:szCs w:val="24"/>
        </w:rPr>
        <w:t xml:space="preserve">（2）采后果实品质与衰老追踪：在指定贮藏条件下定期取样，测定失重率、硬度、可溶性固形物、可滴定酸、Vc含量、呼吸强度、乙烯释放量、腐烂率等指标。</w:t>
      </w:r>
    </w:p>
    <w:p>
      <w:pPr>
        <w:spacing w:after="80" w:line="312"/>
        <w:ind w:firstLine="480"/>
        <w:jc w:val="both"/>
      </w:pPr>
      <w:r>
        <w:rPr>
          <w:rFonts w:ascii="Times New Roman" w:eastAsia="SimSun"/>
          <w:color w:val="000000"/>
          <w:sz w:val="24"/>
          <w:szCs w:val="24"/>
        </w:rPr>
        <w:t xml:space="preserve">（3）细胞壁代谢酶活性分析：检测细胞壁降解酶（PG、PME、β-Gal、CEL）活性及细胞壁组分变化。</w:t>
      </w:r>
    </w:p>
    <w:p>
      <w:pPr>
        <w:spacing w:after="80" w:line="312"/>
        <w:ind w:firstLine="480"/>
        <w:jc w:val="both"/>
      </w:pPr>
      <w:r>
        <w:rPr>
          <w:rFonts w:ascii="Times New Roman" w:eastAsia="SimSun"/>
          <w:color w:val="000000"/>
          <w:sz w:val="24"/>
          <w:szCs w:val="24"/>
        </w:rPr>
        <w:t xml:space="preserve">（4）抗氧化网络分析：酶系统（SOD、POD、CAT、APX、PPO、PAL）和非酶系统（总酚、总黄酮、花青素、ASA-GSH循环），氧化损伤指标（MDA、H2O2、O2-产生速率）。</w:t>
      </w:r>
    </w:p>
    <w:p>
      <w:pPr>
        <w:pStyle w:val="Heading3"/>
        <w:spacing w:after="100" w:before="200" w:line="312"/>
      </w:pPr>
      <w:bookmarkStart w:id="100025" w:name="_Toc100025"/>
      <w:r>
        <w:rPr>
          <w:rFonts w:ascii="Times New Roman" w:eastAsia="SimHei"/>
          <w:b/>
          <w:bCs/>
          <w:color w:val="000000"/>
          <w:sz w:val="24"/>
          <w:szCs w:val="24"/>
        </w:rPr>
        <w:t xml:space="preserve">SCI论文创新点</w:t>
      </w:r>
      <w:bookmarkEnd w:id="100025"/>
    </w:p>
    <w:p>
      <w:pPr>
        <w:spacing w:after="80" w:line="312"/>
        <w:ind w:firstLine="480"/>
        <w:jc w:val="both"/>
      </w:pPr>
      <w:r>
        <w:rPr>
          <w:rFonts w:ascii="Times New Roman" w:eastAsia="SimSun"/>
          <w:color w:val="000000"/>
          <w:sz w:val="24"/>
          <w:szCs w:val="24"/>
        </w:rPr>
        <w:t xml:space="preserve">首次将“采前矿物基改良剂”与“采后果实细胞壁代谢-抗氧化网络”进行因果关联分析，揭示采前调控果实耐贮性的最佳时间窗口和酶学基础。</w:t>
      </w:r>
    </w:p>
    <w:p>
      <w:pPr>
        <w:pStyle w:val="Heading2"/>
        <w:spacing w:after="120" w:before="240" w:line="312"/>
      </w:pPr>
      <w:bookmarkStart w:id="100026" w:name="_Toc100026"/>
      <w:r>
        <w:rPr>
          <w:rFonts w:ascii="Times New Roman" w:eastAsia="SimHei"/>
          <w:b/>
          <w:bCs/>
          <w:color w:val="000000"/>
          <w:sz w:val="28"/>
          <w:szCs w:val="28"/>
        </w:rPr>
        <w:t xml:space="preserve">工程任务一：产品安全性评估与销售许可技术支撑</w:t>
      </w:r>
      <w:bookmarkEnd w:id="100026"/>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2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属性</w:t>
            </w:r>
          </w:p>
        </w:tc>
        <w:tc>
          <w:tcPr>
            <w:tcW w:type="pct" w:w="8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内容</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负责人</w:t>
            </w:r>
          </w:p>
        </w:tc>
        <w:tc>
          <w:tcPr>
            <w:tcW w:type="pct" w:w="8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企业工程师 + 科研团队（数据共享）</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目标</w:t>
            </w:r>
          </w:p>
        </w:tc>
        <w:tc>
          <w:tcPr>
            <w:tcW w:type="pct" w:w="8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出具第三方认可的合规报告，支撑企业销售许可申报和肥料登记</w:t>
            </w:r>
          </w:p>
        </w:tc>
      </w:tr>
    </w:tbl>
    <w:p>
      <w:pPr>
        <w:spacing w:after="120" w:before="60" w:line="280"/>
        <w:jc w:val="center"/>
      </w:pPr>
      <w:r>
        <w:rPr>
          <w:rFonts w:ascii="Times New Roman" w:eastAsia="SimSun"/>
          <w:color w:val="666666"/>
          <w:sz w:val="21"/>
          <w:szCs w:val="21"/>
        </w:rPr>
        <w:t xml:space="preserve">表 8  工程任务一基本信息</w:t>
      </w:r>
    </w:p>
    <w:p>
      <w:pPr>
        <w:spacing w:after="80" w:line="312"/>
        <w:ind w:firstLine="480"/>
        <w:jc w:val="both"/>
      </w:pPr>
      <w:r>
        <w:rPr>
          <w:rFonts w:ascii="Times New Roman" w:eastAsia="SimSun"/>
          <w:color w:val="000000"/>
          <w:sz w:val="24"/>
          <w:szCs w:val="24"/>
        </w:rPr>
        <w:t xml:space="preserve">（1）混配料本底安全检测——按GB 38400-2019检测重金属含量，送农业农村部认定的肥料质检机构。（2）施用后土壤与农产品安全性评估——对标GB 15618-2018风险筛选值及GB 2762-2022食品污染物限量。（3）长期累积风险模型——基于两季数据，构建连续施用多年的重金属累积质量平衡模型。（4）交付物：《沸石基复合混配料重金属安全合规报告》（含第三方机构签章）、《长期连续施用土壤重金属累积风险评估报告》。</w:t>
      </w:r>
    </w:p>
    <w:p>
      <w:pPr>
        <w:pStyle w:val="Heading2"/>
        <w:spacing w:after="120" w:before="240" w:line="312"/>
      </w:pPr>
      <w:bookmarkStart w:id="100027" w:name="_Toc100027"/>
      <w:r>
        <w:rPr>
          <w:rFonts w:ascii="Times New Roman" w:eastAsia="SimHei"/>
          <w:b/>
          <w:bCs/>
          <w:color w:val="000000"/>
          <w:sz w:val="28"/>
          <w:szCs w:val="28"/>
        </w:rPr>
        <w:t xml:space="preserve">工程任务二：多点田间示范与技术规程制定</w:t>
      </w:r>
      <w:bookmarkEnd w:id="100027"/>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2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属性</w:t>
            </w:r>
          </w:p>
        </w:tc>
        <w:tc>
          <w:tcPr>
            <w:tcW w:type="pct" w:w="8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内容</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负责人</w:t>
            </w:r>
          </w:p>
        </w:tc>
        <w:tc>
          <w:tcPr>
            <w:tcW w:type="pct" w:w="8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企业技术推广团队 + 科研团队（规程编制）</w:t>
            </w:r>
          </w:p>
        </w:tc>
      </w:tr>
      <w:tr>
        <w:trPr>
          <w:cantSplit/>
        </w:trPr>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目标</w:t>
            </w:r>
          </w:p>
        </w:tc>
        <w:tc>
          <w:tcPr>
            <w:tcW w:type="pct" w:w="8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产出可进入地方农业技术推广目录的标准化操作规程</w:t>
            </w:r>
          </w:p>
        </w:tc>
      </w:tr>
    </w:tbl>
    <w:p>
      <w:pPr>
        <w:spacing w:after="120" w:before="60" w:line="280"/>
        <w:jc w:val="center"/>
      </w:pPr>
      <w:r>
        <w:rPr>
          <w:rFonts w:ascii="Times New Roman" w:eastAsia="SimSun"/>
          <w:color w:val="666666"/>
          <w:sz w:val="21"/>
          <w:szCs w:val="21"/>
        </w:rPr>
        <w:t xml:space="preserve">表 9  工程任务二基本信息</w:t>
      </w:r>
    </w:p>
    <w:p>
      <w:pPr>
        <w:spacing w:after="80" w:line="312"/>
        <w:ind w:firstLine="480"/>
        <w:jc w:val="both"/>
      </w:pPr>
      <w:r>
        <w:rPr>
          <w:rFonts w:ascii="Times New Roman" w:eastAsia="SimSun"/>
          <w:color w:val="000000"/>
          <w:sz w:val="24"/>
          <w:szCs w:val="24"/>
        </w:rPr>
        <w:t xml:space="preserve">（1）田间示范网络——在多个生态区布设田间示范点，采用Full-formula与CF对比的简化设计，配合现场观摩会。（2）技术规程编制——制定包括适用范围、施用量与时期、施用方法、配伍禁忌、安全间隔期的标准化规程。（3）交付物：《沸石基复合混配料土传病害防控与田果园改造应用技术规程》、多生态区示范观摩会数据、农民施用培训材料。</w:t>
      </w:r>
    </w:p>
    <w:p>
      <w:pPr>
        <w:pStyle w:val="Heading1"/>
        <w:spacing w:after="160" w:before="360" w:line="312"/>
      </w:pPr>
      <w:bookmarkStart w:id="100028" w:name="_Toc100028"/>
      <w:r>
        <w:rPr>
          <w:rFonts w:ascii="Times New Roman" w:eastAsia="SimHei"/>
          <w:b/>
          <w:bCs/>
          <w:color w:val="000000"/>
          <w:sz w:val="32"/>
          <w:szCs w:val="32"/>
        </w:rPr>
        <w:t xml:space="preserve">六、进度安排（36个月，3年建设期）</w:t>
      </w:r>
      <w:bookmarkEnd w:id="100028"/>
    </w:p>
    <w:p>
      <w:pPr>
        <w:pStyle w:val="Heading2"/>
        <w:spacing w:after="120" w:before="240" w:line="312"/>
      </w:pPr>
      <w:bookmarkStart w:id="100029" w:name="_Toc100029"/>
      <w:r>
        <w:rPr>
          <w:rFonts w:ascii="Times New Roman" w:eastAsia="SimHei"/>
          <w:b/>
          <w:bCs/>
          <w:color w:val="000000"/>
          <w:sz w:val="28"/>
          <w:szCs w:val="28"/>
        </w:rPr>
        <w:t xml:space="preserve">第一年（M1-M12）：基础建设与机理探索</w:t>
      </w:r>
      <w:bookmarkEnd w:id="100029"/>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时间</w:t>
            </w:r>
          </w:p>
        </w:tc>
        <w:tc>
          <w:tcPr>
            <w:tcW w:type="pct" w:w="4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科研课题（3个研究生）</w:t>
            </w:r>
          </w:p>
        </w:tc>
        <w:tc>
          <w:tcPr>
            <w:tcW w:type="pct" w:w="4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工程任务</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M1-M3</w:t>
            </w:r>
          </w:p>
        </w:tc>
        <w:tc>
          <w:tcPr>
            <w:tcW w:type="pct" w:w="4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入站培训+文献综述+材料独立本底检测</w:t>
            </w:r>
          </w:p>
        </w:tc>
        <w:tc>
          <w:tcPr>
            <w:tcW w:type="pct" w:w="4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混配料重金属本底送检</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M4-M6</w:t>
            </w:r>
          </w:p>
        </w:tc>
        <w:tc>
          <w:tcPr>
            <w:tcW w:type="pct" w:w="4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室内抑菌实验+胁迫预实验+采后方法学建立</w:t>
            </w:r>
          </w:p>
        </w:tc>
        <w:tc>
          <w:tcPr>
            <w:tcW w:type="pct" w:w="4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M7-M9</w:t>
            </w:r>
          </w:p>
        </w:tc>
        <w:tc>
          <w:tcPr>
            <w:tcW w:type="pct" w:w="4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盆栽微生态实验启动+转录/代谢组建库送样</w:t>
            </w:r>
          </w:p>
        </w:tc>
        <w:tc>
          <w:tcPr>
            <w:tcW w:type="pct" w:w="4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田间试验基地确认+本底网格化采样</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M10-M12</w:t>
            </w:r>
          </w:p>
        </w:tc>
        <w:tc>
          <w:tcPr>
            <w:tcW w:type="pct" w:w="4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数据处理+开题报告+SCI论文初稿撰写</w:t>
            </w:r>
          </w:p>
        </w:tc>
        <w:tc>
          <w:tcPr>
            <w:tcW w:type="pct" w:w="4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第一季田间示范观摩会</w:t>
            </w:r>
          </w:p>
        </w:tc>
      </w:tr>
    </w:tbl>
    <w:p>
      <w:pPr>
        <w:spacing w:after="120" w:before="60" w:line="280"/>
        <w:jc w:val="center"/>
      </w:pPr>
      <w:r>
        <w:rPr>
          <w:rFonts w:ascii="Times New Roman" w:eastAsia="SimSun"/>
          <w:color w:val="666666"/>
          <w:sz w:val="21"/>
          <w:szCs w:val="21"/>
        </w:rPr>
        <w:t xml:space="preserve">表 10  第一年进度安排</w:t>
      </w:r>
    </w:p>
    <w:p>
      <w:pPr>
        <w:spacing w:after="80" w:line="312"/>
        <w:ind w:firstLine="480"/>
        <w:jc w:val="both"/>
      </w:pPr>
      <w:r>
        <w:rPr>
          <w:rFonts w:ascii="Times New Roman" w:eastAsia="SimSun"/>
          <w:color w:val="000000"/>
          <w:sz w:val="24"/>
          <w:szCs w:val="24"/>
        </w:rPr>
        <w:t xml:space="preserve">年度交付：材料表征报告、3份开题报告、至少1篇会议论文摘要投稿。</w:t>
      </w:r>
    </w:p>
    <w:p>
      <w:pPr>
        <w:pStyle w:val="Heading2"/>
        <w:spacing w:after="120" w:before="240" w:line="312"/>
      </w:pPr>
      <w:bookmarkStart w:id="100030" w:name="_Toc100030"/>
      <w:r>
        <w:rPr>
          <w:rFonts w:ascii="Times New Roman" w:eastAsia="SimHei"/>
          <w:b/>
          <w:bCs/>
          <w:color w:val="000000"/>
          <w:sz w:val="28"/>
          <w:szCs w:val="28"/>
        </w:rPr>
        <w:t xml:space="preserve">第二年（M13-M24）：田间验证与数据深挖</w:t>
      </w:r>
      <w:bookmarkEnd w:id="10003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时间</w:t>
            </w:r>
          </w:p>
        </w:tc>
        <w:tc>
          <w:tcPr>
            <w:tcW w:type="pct" w:w="4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科研课题</w:t>
            </w:r>
          </w:p>
        </w:tc>
        <w:tc>
          <w:tcPr>
            <w:tcW w:type="pct" w:w="4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工程任务</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M13-M15</w:t>
            </w:r>
          </w:p>
        </w:tc>
        <w:tc>
          <w:tcPr>
            <w:tcW w:type="pct" w:w="4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第一生长季田间试验（五组对照×RCBD×3重复）</w:t>
            </w:r>
          </w:p>
        </w:tc>
        <w:tc>
          <w:tcPr>
            <w:tcW w:type="pct" w:w="4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田间数据采集+土壤/农产品安全样品采集</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M16-M18</w:t>
            </w:r>
          </w:p>
        </w:tc>
        <w:tc>
          <w:tcPr>
            <w:tcW w:type="pct" w:w="4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多组学数据全面分析+中期考核</w:t>
            </w:r>
          </w:p>
        </w:tc>
        <w:tc>
          <w:tcPr>
            <w:tcW w:type="pct" w:w="4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安全性数据对标GB 15618-2018</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M19-M21</w:t>
            </w:r>
          </w:p>
        </w:tc>
        <w:tc>
          <w:tcPr>
            <w:tcW w:type="pct" w:w="4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第二生长季田间试验（连作效应分析）</w:t>
            </w:r>
          </w:p>
        </w:tc>
        <w:tc>
          <w:tcPr>
            <w:tcW w:type="pct" w:w="4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第二季田间示范观摩会</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M22-M24</w:t>
            </w:r>
          </w:p>
        </w:tc>
        <w:tc>
          <w:tcPr>
            <w:tcW w:type="pct" w:w="4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SCI论文投稿+数据补实验</w:t>
            </w:r>
          </w:p>
        </w:tc>
        <w:tc>
          <w:tcPr>
            <w:tcW w:type="pct" w:w="4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技术规程初稿编制</w:t>
            </w:r>
          </w:p>
        </w:tc>
      </w:tr>
    </w:tbl>
    <w:p>
      <w:pPr>
        <w:spacing w:after="120" w:before="60" w:line="280"/>
        <w:jc w:val="center"/>
      </w:pPr>
      <w:r>
        <w:rPr>
          <w:rFonts w:ascii="Times New Roman" w:eastAsia="SimSun"/>
          <w:color w:val="666666"/>
          <w:sz w:val="21"/>
          <w:szCs w:val="21"/>
        </w:rPr>
        <w:t xml:space="preserve">表 11  第二年进度安排</w:t>
      </w:r>
    </w:p>
    <w:p>
      <w:pPr>
        <w:spacing w:after="80" w:line="312"/>
        <w:ind w:firstLine="480"/>
        <w:jc w:val="both"/>
      </w:pPr>
      <w:r>
        <w:rPr>
          <w:rFonts w:ascii="Times New Roman" w:eastAsia="SimSun"/>
          <w:color w:val="000000"/>
          <w:sz w:val="24"/>
          <w:szCs w:val="24"/>
        </w:rPr>
        <w:t xml:space="preserve">年度交付：2-3篇SCI论文（投稿或发表）、中期考核通过、安全性中期报告。</w:t>
      </w:r>
    </w:p>
    <w:p>
      <w:pPr>
        <w:pStyle w:val="Heading2"/>
        <w:spacing w:after="120" w:before="240" w:line="312"/>
      </w:pPr>
      <w:bookmarkStart w:id="100031" w:name="_Toc100031"/>
      <w:r>
        <w:rPr>
          <w:rFonts w:ascii="Times New Roman" w:eastAsia="SimHei"/>
          <w:b/>
          <w:bCs/>
          <w:color w:val="000000"/>
          <w:sz w:val="28"/>
          <w:szCs w:val="28"/>
        </w:rPr>
        <w:t xml:space="preserve">第三年（M25-M36）：成果凝练与产业落地</w:t>
      </w:r>
      <w:bookmarkEnd w:id="10003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时间</w:t>
            </w:r>
          </w:p>
        </w:tc>
        <w:tc>
          <w:tcPr>
            <w:tcW w:type="pct" w:w="4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科研课题</w:t>
            </w:r>
          </w:p>
        </w:tc>
        <w:tc>
          <w:tcPr>
            <w:tcW w:type="pct" w:w="4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工程任务</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M25-M27</w:t>
            </w:r>
          </w:p>
        </w:tc>
        <w:tc>
          <w:tcPr>
            <w:tcW w:type="pct" w:w="4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论文修改/接收+学位论文初稿</w:t>
            </w:r>
          </w:p>
        </w:tc>
        <w:tc>
          <w:tcPr>
            <w:tcW w:type="pct" w:w="4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重金属累积模型最终版</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M28-M30</w:t>
            </w:r>
          </w:p>
        </w:tc>
        <w:tc>
          <w:tcPr>
            <w:tcW w:type="pct" w:w="4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学位论文盲审/答辩+就业对接</w:t>
            </w:r>
          </w:p>
        </w:tc>
        <w:tc>
          <w:tcPr>
            <w:tcW w:type="pct" w:w="4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技术规程定稿+销售许可申报材料终版</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M31-M33</w:t>
            </w:r>
          </w:p>
        </w:tc>
        <w:tc>
          <w:tcPr>
            <w:tcW w:type="pct" w:w="4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专利申请+成果登记</w:t>
            </w:r>
          </w:p>
        </w:tc>
        <w:tc>
          <w:tcPr>
            <w:tcW w:type="pct" w:w="4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规程进入地方推广目录申报</w:t>
            </w:r>
          </w:p>
        </w:tc>
      </w:tr>
      <w:tr>
        <w:trPr>
          <w:cantSplit/>
        </w:trPr>
        <w:tc>
          <w:tcPr>
            <w:tcW w:type="pct" w:w="1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M34-M36</w:t>
            </w:r>
          </w:p>
        </w:tc>
        <w:tc>
          <w:tcPr>
            <w:tcW w:type="pct" w:w="4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项目总结验收+成果鉴定会</w:t>
            </w:r>
          </w:p>
        </w:tc>
        <w:tc>
          <w:tcPr>
            <w:tcW w:type="pct" w:w="4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品牌推广（行业展会/技术培训会）</w:t>
            </w:r>
          </w:p>
        </w:tc>
      </w:tr>
    </w:tbl>
    <w:p>
      <w:pPr>
        <w:spacing w:after="120" w:before="60" w:line="280"/>
        <w:jc w:val="center"/>
      </w:pPr>
      <w:r>
        <w:rPr>
          <w:rFonts w:ascii="Times New Roman" w:eastAsia="SimSun"/>
          <w:color w:val="666666"/>
          <w:sz w:val="21"/>
          <w:szCs w:val="21"/>
        </w:rPr>
        <w:t xml:space="preserve">表 12  第三年进度安排</w:t>
      </w:r>
    </w:p>
    <w:p>
      <w:pPr>
        <w:spacing w:after="80" w:line="312"/>
        <w:ind w:firstLine="480"/>
        <w:jc w:val="both"/>
      </w:pPr>
      <w:r>
        <w:rPr>
          <w:rFonts w:ascii="Times New Roman" w:eastAsia="SimSun"/>
          <w:color w:val="000000"/>
          <w:sz w:val="24"/>
          <w:szCs w:val="24"/>
        </w:rPr>
        <w:t xml:space="preserve">年度交付：3篇SCI论文（接收或发表）、2-3项专利（申请）、3份硕士学位论文、工作站总结验收报告。</w:t>
      </w:r>
    </w:p>
    <w:p>
      <w:pPr>
        <w:pStyle w:val="Heading1"/>
        <w:spacing w:after="160" w:before="360" w:line="312"/>
      </w:pPr>
      <w:bookmarkStart w:id="100032" w:name="_Toc100032"/>
      <w:r>
        <w:rPr>
          <w:rFonts w:ascii="Times New Roman" w:eastAsia="SimHei"/>
          <w:b/>
          <w:bCs/>
          <w:color w:val="000000"/>
          <w:sz w:val="32"/>
          <w:szCs w:val="32"/>
        </w:rPr>
        <w:t xml:space="preserve">七、预期成果</w:t>
      </w:r>
      <w:bookmarkEnd w:id="100032"/>
    </w:p>
    <w:p>
      <w:pPr>
        <w:pStyle w:val="Heading2"/>
        <w:spacing w:after="120" w:before="240" w:line="312"/>
      </w:pPr>
      <w:bookmarkStart w:id="100033" w:name="_Toc100033"/>
      <w:r>
        <w:rPr>
          <w:rFonts w:ascii="Times New Roman" w:eastAsia="SimHei"/>
          <w:b/>
          <w:bCs/>
          <w:color w:val="000000"/>
          <w:sz w:val="28"/>
          <w:szCs w:val="28"/>
        </w:rPr>
        <w:t xml:space="preserve">7.1 学术成果</w:t>
      </w:r>
      <w:bookmarkEnd w:id="100033"/>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指标</w:t>
            </w:r>
          </w:p>
        </w:tc>
        <w:tc>
          <w:tcPr>
            <w:tcW w:type="pct" w:w="2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数量</w:t>
            </w:r>
          </w:p>
        </w:tc>
        <w:tc>
          <w:tcPr>
            <w:tcW w:type="pct" w:w="5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备注</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SCI论文</w:t>
            </w:r>
          </w:p>
        </w:tc>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≥3篇</w:t>
            </w:r>
          </w:p>
        </w:tc>
        <w:tc>
          <w:tcPr>
            <w:tcW w:type="pct" w:w="5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目标期刊：Soil Biol Biochem / JAFC / Postharvest Biol Technol或同级别二区以上</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硕士学位论文</w:t>
            </w:r>
          </w:p>
        </w:tc>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3篇</w:t>
            </w:r>
          </w:p>
        </w:tc>
        <w:tc>
          <w:tcPr>
            <w:tcW w:type="pct" w:w="5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双导师联合指导</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会议报告</w:t>
            </w:r>
          </w:p>
        </w:tc>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≥3次</w:t>
            </w:r>
          </w:p>
        </w:tc>
        <w:tc>
          <w:tcPr>
            <w:tcW w:type="pct" w:w="5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中国土壤学会/中国园艺学会/全国植物分子生物学研讨会</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发明专利</w:t>
            </w:r>
          </w:p>
        </w:tc>
        <w:tc>
          <w:tcPr>
            <w:tcW w:type="pct" w:w="2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2-3项</w:t>
            </w:r>
          </w:p>
        </w:tc>
        <w:tc>
          <w:tcPr>
            <w:tcW w:type="pct" w:w="5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施用方法+检测评价体系</w:t>
            </w:r>
          </w:p>
        </w:tc>
      </w:tr>
    </w:tbl>
    <w:p>
      <w:pPr>
        <w:spacing w:after="120" w:before="60" w:line="280"/>
        <w:jc w:val="center"/>
      </w:pPr>
      <w:r>
        <w:rPr>
          <w:rFonts w:ascii="Times New Roman" w:eastAsia="SimSun"/>
          <w:color w:val="666666"/>
          <w:sz w:val="21"/>
          <w:szCs w:val="21"/>
        </w:rPr>
        <w:t xml:space="preserve">表 13  学术成果预期</w:t>
      </w:r>
    </w:p>
    <w:p>
      <w:pPr>
        <w:pStyle w:val="Heading2"/>
        <w:spacing w:after="120" w:before="240" w:line="312"/>
      </w:pPr>
      <w:bookmarkStart w:id="100034" w:name="_Toc100034"/>
      <w:r>
        <w:rPr>
          <w:rFonts w:ascii="Times New Roman" w:eastAsia="SimHei"/>
          <w:b/>
          <w:bCs/>
          <w:color w:val="000000"/>
          <w:sz w:val="28"/>
          <w:szCs w:val="28"/>
        </w:rPr>
        <w:t xml:space="preserve">7.2 工程与产业成果</w:t>
      </w:r>
      <w:bookmarkEnd w:id="100034"/>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7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指标</w:t>
            </w:r>
          </w:p>
        </w:tc>
        <w:tc>
          <w:tcPr>
            <w:tcW w:type="pct" w:w="3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数量</w:t>
            </w:r>
          </w:p>
        </w:tc>
      </w:tr>
      <w:tr>
        <w:trPr>
          <w:cantSplit/>
        </w:trPr>
        <w:tc>
          <w:tcPr>
            <w:tcW w:type="pct" w:w="7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《沸石基复合混配料重金属安全合规报告》（第三方签章）</w:t>
            </w:r>
          </w:p>
        </w:tc>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1份</w:t>
            </w:r>
          </w:p>
        </w:tc>
      </w:tr>
      <w:tr>
        <w:trPr>
          <w:cantSplit/>
        </w:trPr>
        <w:tc>
          <w:tcPr>
            <w:tcW w:type="pct" w:w="7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《长期连续施用土壤重金属累积风险评估报告》</w:t>
            </w:r>
          </w:p>
        </w:tc>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1份</w:t>
            </w:r>
          </w:p>
        </w:tc>
      </w:tr>
      <w:tr>
        <w:trPr>
          <w:cantSplit/>
        </w:trPr>
        <w:tc>
          <w:tcPr>
            <w:tcW w:type="pct" w:w="7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《土传病害防控与田果园改造应用技术规程》</w:t>
            </w:r>
          </w:p>
        </w:tc>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1份</w:t>
            </w:r>
          </w:p>
        </w:tc>
      </w:tr>
      <w:tr>
        <w:trPr>
          <w:cantSplit/>
        </w:trPr>
        <w:tc>
          <w:tcPr>
            <w:tcW w:type="pct" w:w="7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多生态区田间示范观摩会</w:t>
            </w:r>
          </w:p>
        </w:tc>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≥3场</w:t>
            </w:r>
          </w:p>
        </w:tc>
      </w:tr>
      <w:tr>
        <w:trPr>
          <w:cantSplit/>
        </w:trPr>
        <w:tc>
          <w:tcPr>
            <w:tcW w:type="pct" w:w="7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销售许可申报材料技术支撑文档</w:t>
            </w:r>
          </w:p>
        </w:tc>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1套</w:t>
            </w:r>
          </w:p>
        </w:tc>
      </w:tr>
    </w:tbl>
    <w:p>
      <w:pPr>
        <w:spacing w:after="120" w:before="60" w:line="280"/>
        <w:jc w:val="center"/>
      </w:pPr>
      <w:r>
        <w:rPr>
          <w:rFonts w:ascii="Times New Roman" w:eastAsia="SimSun"/>
          <w:color w:val="666666"/>
          <w:sz w:val="21"/>
          <w:szCs w:val="21"/>
        </w:rPr>
        <w:t xml:space="preserve">表 14  工程与产业成果预期</w:t>
      </w:r>
    </w:p>
    <w:p>
      <w:pPr>
        <w:pStyle w:val="Heading2"/>
        <w:spacing w:after="120" w:before="240" w:line="312"/>
      </w:pPr>
      <w:bookmarkStart w:id="100035" w:name="_Toc100035"/>
      <w:r>
        <w:rPr>
          <w:rFonts w:ascii="Times New Roman" w:eastAsia="SimHei"/>
          <w:b/>
          <w:bCs/>
          <w:color w:val="000000"/>
          <w:sz w:val="28"/>
          <w:szCs w:val="28"/>
        </w:rPr>
        <w:t xml:space="preserve">7.3 人才培养成果</w:t>
      </w:r>
      <w:bookmarkEnd w:id="100035"/>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3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指标</w:t>
            </w:r>
          </w:p>
        </w:tc>
        <w:tc>
          <w:tcPr>
            <w:tcW w:type="pct" w:w="7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说明</w:t>
            </w:r>
          </w:p>
        </w:tc>
      </w:tr>
      <w:tr>
        <w:trPr>
          <w:cantSplit/>
        </w:trPr>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培养复合型硕士</w:t>
            </w:r>
          </w:p>
        </w:tc>
        <w:tc>
          <w:tcPr>
            <w:tcW w:type="pct" w:w="7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3名（兼具科研能力与产业经验）</w:t>
            </w:r>
          </w:p>
        </w:tc>
      </w:tr>
      <w:tr>
        <w:trPr>
          <w:cantSplit/>
        </w:trPr>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在地化就业率</w:t>
            </w:r>
          </w:p>
        </w:tc>
        <w:tc>
          <w:tcPr>
            <w:tcW w:type="pct" w:w="7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≥2名进入企业或合作农业园区（目标67%）</w:t>
            </w:r>
          </w:p>
        </w:tc>
      </w:tr>
      <w:tr>
        <w:trPr>
          <w:cantSplit/>
        </w:trPr>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政策红利</w:t>
            </w:r>
          </w:p>
        </w:tc>
        <w:tc>
          <w:tcPr>
            <w:tcW w:type="pct" w:w="7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协助申请北京市基层就业补贴/落户加分</w:t>
            </w:r>
          </w:p>
        </w:tc>
      </w:tr>
    </w:tbl>
    <w:p>
      <w:pPr>
        <w:spacing w:after="120" w:before="60" w:line="280"/>
        <w:jc w:val="center"/>
      </w:pPr>
      <w:r>
        <w:rPr>
          <w:rFonts w:ascii="Times New Roman" w:eastAsia="SimSun"/>
          <w:color w:val="666666"/>
          <w:sz w:val="21"/>
          <w:szCs w:val="21"/>
        </w:rPr>
        <w:t xml:space="preserve">表 15  人才培养成果预期</w:t>
      </w:r>
    </w:p>
    <w:p>
      <w:pPr>
        <w:pStyle w:val="Heading1"/>
        <w:spacing w:after="160" w:before="360" w:line="312"/>
      </w:pPr>
      <w:bookmarkStart w:id="100036" w:name="_Toc100036"/>
      <w:r>
        <w:rPr>
          <w:rFonts w:ascii="Times New Roman" w:eastAsia="SimHei"/>
          <w:b/>
          <w:bCs/>
          <w:color w:val="000000"/>
          <w:sz w:val="32"/>
          <w:szCs w:val="32"/>
        </w:rPr>
        <w:t xml:space="preserve">八、知识产权与风险管理</w:t>
      </w:r>
      <w:bookmarkEnd w:id="100036"/>
    </w:p>
    <w:p>
      <w:pPr>
        <w:pStyle w:val="Heading2"/>
        <w:spacing w:after="120" w:before="240" w:line="312"/>
      </w:pPr>
      <w:bookmarkStart w:id="100037" w:name="_Toc100037"/>
      <w:r>
        <w:rPr>
          <w:rFonts w:ascii="Times New Roman" w:eastAsia="SimHei"/>
          <w:b/>
          <w:bCs/>
          <w:color w:val="000000"/>
          <w:sz w:val="28"/>
          <w:szCs w:val="28"/>
        </w:rPr>
        <w:t xml:space="preserve">8.1 知识产权</w:t>
      </w:r>
      <w:bookmarkEnd w:id="100037"/>
    </w:p>
    <w:p>
      <w:pPr>
        <w:pStyle w:val="Heading3"/>
        <w:spacing w:after="100" w:before="200" w:line="312"/>
      </w:pPr>
      <w:bookmarkStart w:id="100038" w:name="_Toc100038"/>
      <w:r>
        <w:rPr>
          <w:rFonts w:ascii="Times New Roman" w:eastAsia="SimHei"/>
          <w:b/>
          <w:bCs/>
          <w:color w:val="000000"/>
          <w:sz w:val="24"/>
          <w:szCs w:val="24"/>
        </w:rPr>
        <w:t xml:space="preserve">背景知识产权</w:t>
      </w:r>
      <w:bookmarkEnd w:id="100038"/>
    </w:p>
    <w:p>
      <w:pPr>
        <w:spacing w:after="80" w:line="312"/>
        <w:ind w:firstLine="480"/>
        <w:jc w:val="both"/>
      </w:pPr>
      <w:r>
        <w:rPr>
          <w:rFonts w:ascii="Times New Roman" w:eastAsia="SimSun"/>
          <w:color w:val="000000"/>
          <w:sz w:val="24"/>
          <w:szCs w:val="24"/>
        </w:rPr>
        <w:t xml:space="preserve">企业方提供的产品配方（包括沸石/蒙脱石/稀土/腐植酸的配比范围）、混配工艺参数及原矿矿物组成数据，其知识产权及商业秘密归企业方独家所有。科研方全体人员（含研究生）须在入站前签署保密协议（NDA），保密范围覆盖企业方提供的全部技术资料。</w:t>
      </w:r>
    </w:p>
    <w:p>
      <w:pPr>
        <w:pStyle w:val="Heading3"/>
        <w:spacing w:after="100" w:before="200" w:line="312"/>
      </w:pPr>
      <w:bookmarkStart w:id="100039" w:name="_Toc100039"/>
      <w:r>
        <w:rPr>
          <w:rFonts w:ascii="Times New Roman" w:eastAsia="SimHei"/>
          <w:b/>
          <w:bCs/>
          <w:color w:val="000000"/>
          <w:sz w:val="24"/>
          <w:szCs w:val="24"/>
        </w:rPr>
        <w:t xml:space="preserve">前景知识产权</w:t>
      </w:r>
      <w:bookmarkEnd w:id="100039"/>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成果类型</w:t>
            </w:r>
          </w:p>
        </w:tc>
        <w:tc>
          <w:tcPr>
            <w:tcW w:type="pct" w:w="3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归属</w:t>
            </w:r>
          </w:p>
        </w:tc>
        <w:tc>
          <w:tcPr>
            <w:tcW w:type="pct" w:w="3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备注</w:t>
            </w:r>
          </w:p>
        </w:tc>
      </w:tr>
      <w:tr>
        <w:trPr>
          <w:cantSplit/>
        </w:trPr>
        <w:tc>
          <w:tcPr>
            <w:tcW w:type="pct" w:w="3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新农业应用方法/施用规程专利</w:t>
            </w:r>
          </w:p>
        </w:tc>
        <w:tc>
          <w:tcPr>
            <w:tcW w:type="pct" w:w="3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双方共有，企业排名第一</w:t>
            </w:r>
          </w:p>
        </w:tc>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或约定科研方署名+企业独占免费实施许可</w:t>
            </w:r>
          </w:p>
        </w:tc>
      </w:tr>
      <w:tr>
        <w:trPr>
          <w:cantSplit/>
        </w:trPr>
        <w:tc>
          <w:tcPr>
            <w:tcW w:type="pct" w:w="3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检测评价方法</w:t>
            </w:r>
          </w:p>
        </w:tc>
        <w:tc>
          <w:tcPr>
            <w:tcW w:type="pct" w:w="3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科研方所有，企业永久免费使用</w:t>
            </w:r>
          </w:p>
        </w:tc>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w:t>
            </w:r>
          </w:p>
        </w:tc>
      </w:tr>
      <w:tr>
        <w:trPr>
          <w:cantSplit/>
        </w:trPr>
        <w:tc>
          <w:tcPr>
            <w:tcW w:type="pct" w:w="3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学术论文</w:t>
            </w:r>
          </w:p>
        </w:tc>
        <w:tc>
          <w:tcPr>
            <w:tcW w:type="pct" w:w="3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科研方为通信作者单位</w:t>
            </w:r>
          </w:p>
        </w:tc>
        <w:tc>
          <w:tcPr>
            <w:tcW w:type="pct" w:w="3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如下述预审条款</w:t>
            </w:r>
          </w:p>
        </w:tc>
      </w:tr>
    </w:tbl>
    <w:p>
      <w:pPr>
        <w:spacing w:after="120" w:before="60" w:line="280"/>
        <w:jc w:val="center"/>
      </w:pPr>
      <w:r>
        <w:rPr>
          <w:rFonts w:ascii="Times New Roman" w:eastAsia="SimSun"/>
          <w:color w:val="666666"/>
          <w:sz w:val="21"/>
          <w:szCs w:val="21"/>
        </w:rPr>
        <w:t xml:space="preserve">表 16  前景知识产权归属</w:t>
      </w:r>
    </w:p>
    <w:p>
      <w:pPr>
        <w:pStyle w:val="Heading3"/>
        <w:spacing w:after="100" w:before="200" w:line="312"/>
      </w:pPr>
      <w:bookmarkStart w:id="100040" w:name="_Toc100040"/>
      <w:r>
        <w:rPr>
          <w:rFonts w:ascii="Times New Roman" w:eastAsia="SimHei"/>
          <w:b/>
          <w:bCs/>
          <w:color w:val="000000"/>
          <w:sz w:val="24"/>
          <w:szCs w:val="24"/>
        </w:rPr>
        <w:t xml:space="preserve">论文发表预审机制</w:t>
      </w:r>
      <w:bookmarkEnd w:id="100040"/>
    </w:p>
    <w:p>
      <w:pPr>
        <w:spacing w:after="80" w:line="312"/>
        <w:ind w:firstLine="480"/>
        <w:jc w:val="both"/>
      </w:pPr>
      <w:r>
        <w:rPr>
          <w:rFonts w:ascii="Times New Roman" w:eastAsia="SimSun"/>
          <w:color w:val="000000"/>
          <w:sz w:val="24"/>
          <w:szCs w:val="24"/>
        </w:rPr>
        <w:t xml:space="preserve">科研方发表论文前须提前30个自然日将手稿提交企业方审核。企业方有权要求隐去具体配方比例（以“改性矿物复合材料”代称），但不得无故阻拦基础科学机理的发表。30日内未提出书面异议视为同意。</w:t>
      </w:r>
    </w:p>
    <w:p>
      <w:pPr>
        <w:pStyle w:val="Heading2"/>
        <w:spacing w:after="120" w:before="240" w:line="312"/>
      </w:pPr>
      <w:bookmarkStart w:id="100041" w:name="_Toc100041"/>
      <w:r>
        <w:rPr>
          <w:rFonts w:ascii="Times New Roman" w:eastAsia="SimHei"/>
          <w:b/>
          <w:bCs/>
          <w:color w:val="000000"/>
          <w:sz w:val="28"/>
          <w:szCs w:val="28"/>
        </w:rPr>
        <w:t xml:space="preserve">8.2 风险管理</w:t>
      </w:r>
      <w:bookmarkEnd w:id="10004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风险</w:t>
            </w:r>
          </w:p>
        </w:tc>
        <w:tc>
          <w:tcPr>
            <w:tcW w:type="pct" w:w="10%"/>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等级</w:t>
            </w:r>
          </w:p>
        </w:tc>
        <w:tc>
          <w:tcPr>
            <w:tcW w:type="pct" w:w="65%"/>
            <w:shd w:fill="D4875A" w:val="clear"/>
            <w:tcMar>
              <w:top w:type="dxa" w:w="60"/>
              <w:left w:type="dxa" w:w="120"/>
              <w:bottom w:type="dxa" w:w="60"/>
              <w:right w:type="dxa" w:w="120"/>
            </w:tcMar>
          </w:tcPr>
          <w:p>
            <w:pPr>
              <w:spacing w:line="280"/>
            </w:pPr>
            <w:r>
              <w:rPr>
                <w:rFonts w:ascii="Times New Roman" w:eastAsia="SimHei"/>
                <w:b/>
                <w:bCs/>
                <w:color w:val="FFFFFF"/>
                <w:sz w:val="21"/>
                <w:szCs w:val="21"/>
              </w:rPr>
              <w:t xml:space="preserve">应对措施</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混配料批次不均一</w:t>
            </w:r>
          </w:p>
        </w:tc>
        <w:tc>
          <w:tcPr>
            <w:tcW w:type="pct" w:w="1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中</w:t>
            </w:r>
          </w:p>
        </w:tc>
        <w:tc>
          <w:tcPr>
            <w:tcW w:type="pct" w:w="6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入站第1个月完成多批次独立检测；CV&gt;15%暂停后续实验</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极端气候致田间绝收</w:t>
            </w:r>
          </w:p>
        </w:tc>
        <w:tc>
          <w:tcPr>
            <w:tcW w:type="pct" w:w="1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高</w:t>
            </w:r>
          </w:p>
        </w:tc>
        <w:tc>
          <w:tcPr>
            <w:tcW w:type="pct" w:w="6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触发应急预案——启用替补作物或跨季衔接</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研究生课题进度滞后</w:t>
            </w:r>
          </w:p>
        </w:tc>
        <w:tc>
          <w:tcPr>
            <w:tcW w:type="pct" w:w="1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中</w:t>
            </w:r>
          </w:p>
        </w:tc>
        <w:tc>
          <w:tcPr>
            <w:tcW w:type="pct" w:w="6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双导师月度组会；关键节点前2个月预警</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企业方中途终止合作</w:t>
            </w:r>
          </w:p>
        </w:tc>
        <w:tc>
          <w:tcPr>
            <w:tcW w:type="pct" w:w="1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低</w:t>
            </w:r>
          </w:p>
        </w:tc>
        <w:tc>
          <w:tcPr>
            <w:tcW w:type="pct" w:w="6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合同约定：已产生数据归双方共有，科研方可继续用于学术发表</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配方泄露</w:t>
            </w:r>
          </w:p>
        </w:tc>
        <w:tc>
          <w:tcPr>
            <w:tcW w:type="pct" w:w="1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中</w:t>
            </w:r>
          </w:p>
        </w:tc>
        <w:tc>
          <w:tcPr>
            <w:tcW w:type="pct" w:w="6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分层级NDA；配方数据分模块加密存储</w:t>
            </w:r>
          </w:p>
        </w:tc>
      </w:tr>
      <w:tr>
        <w:trPr>
          <w:cantSplit/>
        </w:trPr>
        <w:tc>
          <w:tcPr>
            <w:tcW w:type="pct" w:w="2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竞品企业恶意模仿</w:t>
            </w:r>
          </w:p>
        </w:tc>
        <w:tc>
          <w:tcPr>
            <w:tcW w:type="pct" w:w="10%"/>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中</w:t>
            </w:r>
          </w:p>
        </w:tc>
        <w:tc>
          <w:tcPr>
            <w:tcW w:type="pct" w:w="65%"/>
            <w:tcMar>
              <w:top w:type="dxa" w:w="60"/>
              <w:left w:type="dxa" w:w="120"/>
              <w:bottom w:type="dxa" w:w="60"/>
              <w:right w:type="dxa" w:w="120"/>
            </w:tcMar>
          </w:tcPr>
          <w:p>
            <w:pPr>
              <w:spacing w:line="280"/>
            </w:pPr>
            <w:r>
              <w:rPr>
                <w:rFonts w:ascii="Times New Roman" w:eastAsia="SimSun"/>
                <w:b w:val="false"/>
                <w:bCs w:val="false"/>
                <w:color w:val="000000"/>
                <w:sz w:val="21"/>
                <w:szCs w:val="21"/>
              </w:rPr>
              <w:t xml:space="preserve">核心工艺参数以商业秘密保护；应用方法申请专利</w:t>
            </w:r>
          </w:p>
        </w:tc>
      </w:tr>
    </w:tbl>
    <w:p>
      <w:pPr>
        <w:spacing w:after="120" w:before="60" w:line="280"/>
        <w:jc w:val="center"/>
      </w:pPr>
      <w:r>
        <w:rPr>
          <w:rFonts w:ascii="Times New Roman" w:eastAsia="SimSun"/>
          <w:color w:val="666666"/>
          <w:sz w:val="21"/>
          <w:szCs w:val="21"/>
        </w:rPr>
        <w:t xml:space="preserve">表 17  风险管理矩阵</w:t>
      </w:r>
    </w:p>
    <w:p>
      <w:pPr>
        <w:pStyle w:val="Heading2"/>
        <w:spacing w:after="120" w:before="240" w:line="312"/>
      </w:pPr>
      <w:bookmarkStart w:id="100042" w:name="_Toc100042"/>
      <w:r>
        <w:rPr>
          <w:rFonts w:ascii="Times New Roman" w:eastAsia="SimHei"/>
          <w:b/>
          <w:bCs/>
          <w:color w:val="000000"/>
          <w:sz w:val="28"/>
          <w:szCs w:val="28"/>
        </w:rPr>
        <w:t xml:space="preserve">8.3 田间试验极端气候应急预案</w:t>
      </w:r>
      <w:bookmarkEnd w:id="100042"/>
    </w:p>
    <w:p>
      <w:pPr>
        <w:spacing w:after="80" w:line="312"/>
        <w:ind w:firstLine="480"/>
        <w:jc w:val="both"/>
      </w:pPr>
      <w:r>
        <w:rPr>
          <w:rFonts w:ascii="Times New Roman" w:eastAsia="SimSun"/>
          <w:color w:val="000000"/>
          <w:sz w:val="24"/>
          <w:szCs w:val="24"/>
        </w:rPr>
        <w:t xml:space="preserve">若单季作物因特大暴雨、持续干旱、洪水或非靶标病虫害暴发导致减产幅度超70%，触发预案。方案A（同季补种）：换种生长周期更短的叶菜，验证混配料在紧急替代场景下的土壤改良与增产效果。方案B（跨季衔接）：直接进入下一季的第二梯队作物种植，确保两季有效数据。替补作物数据经双方书面确认后视为有效。连季绝收则协商延长试验周期，互不追责。建议企业方为试验田投保农业气象指数保险。</w:t>
      </w:r>
    </w:p>
    <w:p>
      <w:pPr>
        <w:pStyle w:val="Heading1"/>
        <w:spacing w:after="160" w:before="360" w:line="312"/>
      </w:pPr>
      <w:bookmarkStart w:id="100043" w:name="_Toc100043"/>
      <w:r>
        <w:rPr>
          <w:rFonts w:ascii="Times New Roman" w:eastAsia="SimHei"/>
          <w:b/>
          <w:bCs/>
          <w:color w:val="000000"/>
          <w:sz w:val="32"/>
          <w:szCs w:val="32"/>
        </w:rPr>
        <w:t xml:space="preserve">参考文献</w:t>
      </w:r>
      <w:bookmarkEnd w:id="100043"/>
    </w:p>
    <w:p>
      <w:pPr>
        <w:spacing w:after="60" w:line="280"/>
        <w:ind w:left="480" w:hanging="480"/>
      </w:pPr>
      <w:r>
        <w:rPr>
          <w:rFonts w:ascii="Times New Roman" w:eastAsia="SimSun"/>
          <w:color w:val="000000"/>
          <w:sz w:val="21"/>
          <w:szCs w:val="21"/>
        </w:rPr>
        <w:t xml:space="preserve">[1] Mendes R, Kruijt M, de Bruijn I, et al. Deciphering the rhizosphere microbiome for disease-suppressive bacteria[J]. Science, 2011, 332(6033): 1097-1100.</w:t>
      </w:r>
    </w:p>
    <w:p>
      <w:pPr>
        <w:spacing w:after="60" w:line="280"/>
        <w:ind w:left="480" w:hanging="480"/>
      </w:pPr>
      <w:r>
        <w:rPr>
          <w:rFonts w:ascii="Times New Roman" w:eastAsia="SimSun"/>
          <w:color w:val="000000"/>
          <w:sz w:val="21"/>
          <w:szCs w:val="21"/>
        </w:rPr>
        <w:t xml:space="preserve">[2] Berendsen R L, Pieterse C M J, Bakker P A H M. The rhizosphere microbiome and plant health[J]. Trends in Plant Science, 2012, 17(8): 478-486.</w:t>
      </w:r>
    </w:p>
    <w:p>
      <w:pPr>
        <w:spacing w:after="60" w:line="280"/>
        <w:ind w:left="480" w:hanging="480"/>
      </w:pPr>
      <w:r>
        <w:rPr>
          <w:rFonts w:ascii="Times New Roman" w:eastAsia="SimSun"/>
          <w:color w:val="000000"/>
          <w:sz w:val="21"/>
          <w:szCs w:val="21"/>
        </w:rPr>
        <w:t xml:space="preserve">[3] Yang K, Wang X, Hou R, et al. Rhizosphere phage communities drive soil suppressiveness to bacterial wilt disease[J]. Microbiome, 2023, 11: 16.</w:t>
      </w:r>
    </w:p>
    <w:p>
      <w:pPr>
        <w:spacing w:after="60" w:line="280"/>
        <w:ind w:left="480" w:hanging="480"/>
      </w:pPr>
      <w:r>
        <w:rPr>
          <w:rFonts w:ascii="Times New Roman" w:eastAsia="SimSun"/>
          <w:color w:val="000000"/>
          <w:sz w:val="21"/>
          <w:szCs w:val="21"/>
        </w:rPr>
        <w:t xml:space="preserve">[4] Gomez Exposito R, de Bruijn I, Postma J, et al. Current insights into the role of rhizosphere bacteria in disease suppressive soils[J]. Frontiers in Microbiology, 2017, 8: 2529.</w:t>
      </w:r>
    </w:p>
    <w:p>
      <w:pPr>
        <w:spacing w:after="60" w:line="280"/>
        <w:ind w:left="480" w:hanging="480"/>
      </w:pPr>
      <w:r>
        <w:rPr>
          <w:rFonts w:ascii="Times New Roman" w:eastAsia="SimSun"/>
          <w:color w:val="000000"/>
          <w:sz w:val="21"/>
          <w:szCs w:val="21"/>
        </w:rPr>
        <w:t xml:space="preserve">[5] Liu Y, Sun X, Lai J, et al. Research progress on rhizosphere microbiota for controlling soil-borne diseases: mechanisms, applications, and challenges[J]. Microorganisms, 2026. (Online First)</w:t>
      </w:r>
    </w:p>
    <w:p>
      <w:pPr>
        <w:spacing w:after="60" w:line="280"/>
        <w:ind w:left="480" w:hanging="480"/>
      </w:pPr>
      <w:r>
        <w:rPr>
          <w:rFonts w:ascii="Times New Roman" w:eastAsia="SimSun"/>
          <w:color w:val="000000"/>
          <w:sz w:val="21"/>
          <w:szCs w:val="21"/>
        </w:rPr>
        <w:t xml:space="preserve">[6] Bio-organic soil amendment promotes the suppression of Ralstonia solanacearum by inducing changes in the functionality and composition of the rhizosphere microbiome[J]. New Phytologist, 2022.</w:t>
      </w:r>
    </w:p>
    <w:p>
      <w:pPr>
        <w:spacing w:after="60" w:line="280"/>
        <w:ind w:left="480" w:hanging="480"/>
      </w:pPr>
      <w:r>
        <w:rPr>
          <w:rFonts w:ascii="Times New Roman" w:eastAsia="SimSun"/>
          <w:color w:val="000000"/>
          <w:sz w:val="21"/>
          <w:szCs w:val="21"/>
        </w:rPr>
        <w:t xml:space="preserve">[7] Vidican R, Stoian V, Rotar I, et al. Oscillation induced by agricultural inputs in microbial communities formed in soybean rhizosphere[J]. 2017.</w:t>
      </w:r>
    </w:p>
    <w:p>
      <w:pPr>
        <w:spacing w:after="60" w:line="280"/>
        <w:ind w:left="480" w:hanging="480"/>
      </w:pPr>
      <w:r>
        <w:rPr>
          <w:rFonts w:ascii="Times New Roman" w:eastAsia="SimSun"/>
          <w:color w:val="000000"/>
          <w:sz w:val="21"/>
          <w:szCs w:val="21"/>
        </w:rPr>
        <w:t xml:space="preserve">[8] Li R Y, Guo X, Qi Y, et al. Soil amendments and slow-release urea improved growth, physiological characteristics, and yield of salt-tolerant rice under salt stress conditions[J]. Plants, 2025, 14(4): 543.</w:t>
      </w:r>
    </w:p>
    <w:p>
      <w:pPr>
        <w:spacing w:after="60" w:line="280"/>
        <w:ind w:left="480" w:hanging="480"/>
      </w:pPr>
      <w:r>
        <w:rPr>
          <w:rFonts w:ascii="Times New Roman" w:eastAsia="SimSun"/>
          <w:color w:val="000000"/>
          <w:sz w:val="21"/>
          <w:szCs w:val="21"/>
        </w:rPr>
        <w:t xml:space="preserve">[9] Nabi F, et al. Structure-based function of humic acid in abiotic stress alleviation in plants: a review[J]. Plants, 2025, 14(13): 1916.</w:t>
      </w:r>
    </w:p>
    <w:p>
      <w:pPr>
        <w:spacing w:after="60" w:line="280"/>
        <w:ind w:left="480" w:hanging="480"/>
      </w:pPr>
      <w:r>
        <w:rPr>
          <w:rFonts w:ascii="Times New Roman" w:eastAsia="SimSun"/>
          <w:color w:val="000000"/>
          <w:sz w:val="21"/>
          <w:szCs w:val="21"/>
        </w:rPr>
        <w:t xml:space="preserve">[10] Mahmoud A W M, Abdeldaym E A, Abdelaziz S M, et al. Synergetic effects of zinc, boron, silicon, and zeolite nanoparticles on confer tolerance in potato plants subjected to salinity[J]. Agronomy, 2020, 10(1): 19.</w:t>
      </w:r>
    </w:p>
    <w:p>
      <w:pPr>
        <w:spacing w:after="60" w:line="280"/>
        <w:ind w:left="480" w:hanging="480"/>
      </w:pPr>
      <w:r>
        <w:rPr>
          <w:rFonts w:ascii="Times New Roman" w:eastAsia="SimSun"/>
          <w:color w:val="000000"/>
          <w:sz w:val="21"/>
          <w:szCs w:val="21"/>
        </w:rPr>
        <w:t xml:space="preserve">[11] Li C, et al. The stabilization ability of NaA zeolite derived from fly ash for lead and cadmium in soil: mechanisms and evaluation of effectiveness[J]. Science of the Total Environment, 2024.</w:t>
      </w:r>
    </w:p>
    <w:p>
      <w:pPr>
        <w:spacing w:after="60" w:line="280"/>
        <w:ind w:left="480" w:hanging="480"/>
      </w:pPr>
      <w:r>
        <w:rPr>
          <w:rFonts w:ascii="Times New Roman" w:eastAsia="SimSun"/>
          <w:color w:val="000000"/>
          <w:sz w:val="21"/>
          <w:szCs w:val="21"/>
        </w:rPr>
        <w:t xml:space="preserve">[12] Rahimi M, et al. Immobilization of lead and cadmium in a calcareous soil, bio-accumulation in maize (Zea mays L.) and potential environmental risk as affected by amendments[J]. Environmental Earth Sciences, 2024, 83: 395.</w:t>
      </w:r>
    </w:p>
    <w:p>
      <w:pPr>
        <w:spacing w:after="60" w:line="280"/>
        <w:ind w:left="480" w:hanging="480"/>
      </w:pPr>
      <w:r>
        <w:rPr>
          <w:rFonts w:ascii="Times New Roman" w:eastAsia="SimSun"/>
          <w:color w:val="000000"/>
          <w:sz w:val="21"/>
          <w:szCs w:val="21"/>
        </w:rPr>
        <w:t xml:space="preserve">[13] Rahimi M, Bertalan-Balazs B, et al. Impact assessment of zeolite, Ca-bentonite and biochar amendments on Cd bioavailability and fractions in polluted calcareous soils[J]. Environmental Earth Sciences, 2024, 83(17).</w:t>
      </w:r>
    </w:p>
    <w:p>
      <w:pPr>
        <w:spacing w:after="60" w:line="280"/>
        <w:ind w:left="480" w:hanging="480"/>
      </w:pPr>
      <w:r>
        <w:rPr>
          <w:rFonts w:ascii="Times New Roman" w:eastAsia="SimSun"/>
          <w:color w:val="000000"/>
          <w:sz w:val="21"/>
          <w:szCs w:val="21"/>
        </w:rPr>
        <w:t xml:space="preserve">[14] Wang Y, Wang X J, Li Y. Effects of struvite-loaded zeolite amendment on the fate of copper, tetracycline and antibiotic resistance genes in microplastic-contaminated soil[J]. Chemical Engineering Journal, 2022, 431: 130478.</w:t>
      </w:r>
    </w:p>
    <w:p>
      <w:pPr>
        <w:spacing w:after="60" w:line="280"/>
        <w:ind w:left="480" w:hanging="480"/>
      </w:pPr>
      <w:r>
        <w:rPr>
          <w:rFonts w:ascii="Times New Roman" w:eastAsia="SimSun"/>
          <w:color w:val="000000"/>
          <w:sz w:val="21"/>
          <w:szCs w:val="21"/>
        </w:rPr>
        <w:t xml:space="preserve">[15] Zhang X, Yao M C, Chen L. Lewis acid-base interaction triggering electron delocalization to enhance the photodegradation of extracellular antibiotic resistance genes adsorbed on clay minerals[J]. Environmental Science &amp; Technology, 2022, 56(24): 17895-17905.</w:t>
      </w:r>
    </w:p>
    <w:p>
      <w:pPr>
        <w:spacing w:after="60" w:line="280"/>
        <w:ind w:left="480" w:hanging="480"/>
      </w:pPr>
      <w:r>
        <w:rPr>
          <w:rFonts w:ascii="Times New Roman" w:eastAsia="SimSun"/>
          <w:color w:val="000000"/>
          <w:sz w:val="21"/>
          <w:szCs w:val="21"/>
        </w:rPr>
        <w:t xml:space="preserve">[16] Indhu Pavithra S, Leninraja D, Dhevagi P, et al. Removal of lead: the synergistic power of clinoptilolite and nano-composite materials — a comprehensive review[J]. Discover Applied Sciences, 2025.</w:t>
      </w:r>
    </w:p>
    <w:p>
      <w:pPr>
        <w:spacing w:after="60" w:line="280"/>
        <w:ind w:left="480" w:hanging="480"/>
      </w:pPr>
      <w:r>
        <w:rPr>
          <w:rFonts w:ascii="Times New Roman" w:eastAsia="SimSun"/>
          <w:color w:val="000000"/>
          <w:sz w:val="21"/>
          <w:szCs w:val="21"/>
        </w:rPr>
        <w:t xml:space="preserve">[17] Chu Z, Tang H, Liang J, et al. Systematic evaluation of soil-based zeolite materials for the remediation of metal(loid)-contaminated water bodies[J]. Soil &amp; Environmental Health, 2025.</w:t>
      </w:r>
    </w:p>
    <w:p>
      <w:pPr>
        <w:spacing w:after="60" w:line="280"/>
        <w:ind w:left="480" w:hanging="480"/>
      </w:pPr>
      <w:r>
        <w:rPr>
          <w:rFonts w:ascii="Times New Roman" w:eastAsia="SimSun"/>
          <w:color w:val="000000"/>
          <w:sz w:val="21"/>
          <w:szCs w:val="21"/>
        </w:rPr>
        <w:t xml:space="preserve">[18] Alebidi, et al. gamma-aminobutyric acid and zeolite as natural treatments to maintain the fruit quality, storability, and shelf life in apricot[J]. BioResources, 2025, 20(3): 7330-7357.</w:t>
      </w:r>
    </w:p>
    <w:p>
      <w:pPr>
        <w:spacing w:after="60" w:line="280"/>
        <w:ind w:left="480" w:hanging="480"/>
      </w:pPr>
      <w:r>
        <w:rPr>
          <w:rFonts w:ascii="Times New Roman" w:eastAsia="SimSun"/>
          <w:color w:val="000000"/>
          <w:sz w:val="21"/>
          <w:szCs w:val="21"/>
        </w:rPr>
        <w:t xml:space="preserve">[19] Adeniji A, Huang J, et al. Hot viewpoint on how soil texture, soil nutrient availability, and root exudates interact to shape microbial dynamics and plant health[J]. Plant and Soil, 2024, 511: 69-90.</w:t>
      </w:r>
    </w:p>
    <w:p>
      <w:pPr>
        <w:spacing w:after="60" w:line="280"/>
        <w:ind w:left="480" w:hanging="480"/>
      </w:pPr>
      <w:r>
        <w:rPr>
          <w:rFonts w:ascii="Times New Roman" w:eastAsia="SimSun"/>
          <w:color w:val="000000"/>
          <w:sz w:val="21"/>
          <w:szCs w:val="21"/>
        </w:rPr>
        <w:t xml:space="preserve">[20] Gao F, Wei S X, Ou H B, et al. Chromosome-level genome assembly of Albizia odoratissima and effect of flavonoid metabolic pathways under drought stress[J]. BMC Plant Biology, 2025, 25(1). (Online First)</w:t>
      </w:r>
    </w:p>
    <w:p>
      <w:pPr>
        <w:spacing w:after="60" w:line="280"/>
        <w:ind w:left="480" w:hanging="480"/>
      </w:pPr>
      <w:r>
        <w:rPr>
          <w:rFonts w:ascii="Times New Roman" w:eastAsia="SimSun"/>
          <w:color w:val="000000"/>
          <w:sz w:val="21"/>
          <w:szCs w:val="21"/>
        </w:rPr>
        <w:t xml:space="preserve">[21] 韩澄宇, 顾兆林. 钝化剂-有机肥联合修复作用下重金属污染土壤修复效应研究[J]. 地球环境学报, 2025, 16(5): 642-652.</w:t>
      </w:r>
    </w:p>
    <w:p>
      <w:pPr>
        <w:spacing w:after="60" w:line="280"/>
        <w:ind w:left="480" w:hanging="480"/>
      </w:pPr>
      <w:r>
        <w:rPr>
          <w:rFonts w:ascii="Times New Roman" w:eastAsia="SimSun"/>
          <w:color w:val="000000"/>
          <w:sz w:val="21"/>
          <w:szCs w:val="21"/>
        </w:rPr>
        <w:t xml:space="preserve">[22] 常柳, 代淑娟, 贾春云, 刘泽浩, 巩宗强. 矿物材料在重金属污染土壤修复中的应用进展[J]. 矿产综合利用, 2025, 46(3): 107-117.</w:t>
      </w:r>
    </w:p>
    <w:p>
      <w:pPr>
        <w:spacing w:after="60" w:line="280"/>
        <w:ind w:left="480" w:hanging="480"/>
      </w:pPr>
      <w:r>
        <w:rPr>
          <w:rFonts w:ascii="Times New Roman" w:eastAsia="SimSun"/>
          <w:color w:val="000000"/>
          <w:sz w:val="21"/>
          <w:szCs w:val="21"/>
        </w:rPr>
        <w:t xml:space="preserve">[23] 马妍, 张大定, 张帆, 等. 壳聚糖改性沸石对多金属污染土壤稳定化处理效果及影响因素研究[J]. 环境工程, 2022, 40(1): 94-101, 116.</w:t>
      </w:r>
    </w:p>
    <w:p>
      <w:pPr>
        <w:spacing w:after="60" w:line="280"/>
        <w:ind w:left="480" w:hanging="480"/>
      </w:pPr>
      <w:r>
        <w:rPr>
          <w:rFonts w:ascii="Times New Roman" w:eastAsia="SimSun"/>
          <w:color w:val="000000"/>
          <w:sz w:val="21"/>
          <w:szCs w:val="21"/>
        </w:rPr>
        <w:t xml:space="preserve">[24] 王哲, 朱俊, 李雯, 等. 镧沸石对磷和重金属的吸附与底泥钝化性能[J]. 环境科学, 2022, 43(11): 5106-5114.</w:t>
      </w:r>
    </w:p>
    <w:p>
      <w:pPr>
        <w:spacing w:after="60" w:line="280"/>
        <w:ind w:left="480" w:hanging="480"/>
      </w:pPr>
      <w:r>
        <w:rPr>
          <w:rFonts w:ascii="Times New Roman" w:eastAsia="SimSun"/>
          <w:color w:val="000000"/>
          <w:sz w:val="21"/>
          <w:szCs w:val="21"/>
        </w:rPr>
        <w:t xml:space="preserve">[25] 周育智, 龙林丽, 胡翩, 等. 聚多巴胺修饰矸石基沸石净化含镉污水性能与机制[J]. 中国环境科学, 2025, 45(7): 3762-3770.</w:t>
      </w:r>
    </w:p>
    <w:p>
      <w:pPr>
        <w:spacing w:after="60" w:line="280"/>
        <w:ind w:left="480" w:hanging="480"/>
      </w:pPr>
      <w:r>
        <w:rPr>
          <w:rFonts w:ascii="Times New Roman" w:eastAsia="SimSun"/>
          <w:color w:val="000000"/>
          <w:sz w:val="21"/>
          <w:szCs w:val="21"/>
        </w:rPr>
        <w:t xml:space="preserve">[26] 李杨, 赵凤亮, 张光旭, 等. 利用沸石基缓释肥减少土壤养分淋失[J]. 热带作物学报, 2025, 46(9): 2239-2249.</w:t>
      </w:r>
    </w:p>
    <w:p>
      <w:pPr>
        <w:spacing w:after="60" w:line="280"/>
        <w:ind w:left="480" w:hanging="480"/>
      </w:pPr>
      <w:r>
        <w:rPr>
          <w:rFonts w:ascii="Times New Roman" w:eastAsia="SimSun"/>
          <w:color w:val="000000"/>
          <w:sz w:val="21"/>
          <w:szCs w:val="21"/>
        </w:rPr>
        <w:t xml:space="preserve">[27] 王伟, 胡婷, 孙志玲, 等. 沸石包膜尿素肥料养分释放特征及其对大豆生物效应的影响[J]. 黑龙江农业科学, 2024(4): 18-24.</w:t>
      </w:r>
    </w:p>
    <w:p>
      <w:pPr>
        <w:spacing w:after="60" w:line="280"/>
        <w:ind w:left="480" w:hanging="480"/>
      </w:pPr>
      <w:r>
        <w:rPr>
          <w:rFonts w:ascii="Times New Roman" w:eastAsia="SimSun"/>
          <w:color w:val="000000"/>
          <w:sz w:val="21"/>
          <w:szCs w:val="21"/>
        </w:rPr>
        <w:t xml:space="preserve">[28] 孙一迪, 谢基海, 吕玉平, 等. 斜发沸石节水控氮及增产效应的研究进展[J]. 节水灌溉, 2024(5): 94-99.</w:t>
      </w:r>
    </w:p>
    <w:p>
      <w:pPr>
        <w:spacing w:after="60" w:line="280"/>
        <w:ind w:left="480" w:hanging="480"/>
      </w:pPr>
      <w:r>
        <w:rPr>
          <w:rFonts w:ascii="Times New Roman" w:eastAsia="SimSun"/>
          <w:color w:val="000000"/>
          <w:sz w:val="21"/>
          <w:szCs w:val="21"/>
        </w:rPr>
        <w:t xml:space="preserve">[29] 杨娅琳, 陈健鑫, 武自强, 等. 油茶根腐病根际土壤和根系内细菌群落结构及多样性[J]. 经济林研究, 2023, 41(2): 69-82.</w:t>
      </w:r>
    </w:p>
    <w:p>
      <w:pPr>
        <w:spacing w:after="60" w:line="280"/>
        <w:ind w:left="480" w:hanging="480"/>
      </w:pPr>
      <w:r>
        <w:rPr>
          <w:rFonts w:ascii="Times New Roman" w:eastAsia="SimSun"/>
          <w:color w:val="000000"/>
          <w:sz w:val="21"/>
          <w:szCs w:val="21"/>
        </w:rPr>
        <w:t xml:space="preserve">[30] 陈洪鹏, 于春晓, 王光美, 等. 生物炭和双氰胺对滨海盐碱土氮素转化及大豆氮素吸收利用的影响[J]. 生态学杂志, 2025, 44(2): 502-511.</w:t>
      </w:r>
    </w:p>
    <w:sectPr>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0000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0000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2026-06-07T11:40:06.902Z</dcterms:created>
  <dcterms:modified xsi:type="dcterms:W3CDTF">2026-06-07T11:40:06.902Z</dcterms:modified>
</cp:coreProperties>
</file>

<file path=docProps/custom.xml><?xml version="1.0" encoding="utf-8"?>
<Properties xmlns="http://schemas.openxmlformats.org/officeDocument/2006/custom-properties" xmlns:vt="http://schemas.openxmlformats.org/officeDocument/2006/docPropsVTypes"/>
</file>