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10/24/18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11:30 PM - 12:30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with Jack Twiddy (TA from Dr Bikson’s Lab)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The sponsor’s specifications were revisited and evaluated.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friendly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Jack raised the issue about user friendly should be the key focus. Suggestions of approach to the tDCS device was also raised by both Jack and team members examples are: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wearable hat with different montages,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of prepacking the devices respect to the montage,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and color coded instructions on how to place the montages,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adjustable straps to solve issue with different head size.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Disposability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Jack pointed out complete disposable device is most likely not possible and we should consider partial disposable device. Reasoning with the motion the team agreed, suggestion was made on having a disposable headgear with reusable box (circuit). The disposability challenges the affordable price we are aiming for. Also current white market devices offer more in terms of multiple use and affordability.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We also talked about how to split the work. We agreed that jack should work on the circuit while we should work on the headgear.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Towards the end of the meeting we went over Jack’s progress on the circuit and his advice on the general cost of the box (circuit).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