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11/20/18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1:00 PM - 2:00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With Mentors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Feedback from Professor Bikson to mentors: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Prong electrode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Sponge electrode better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towards single use for a period of time (like on the go)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doing the simulation current or voltage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time/ draining of batteries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had feedbacks and suggestion notes from the meeting below: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+ Rf-tags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critical specification to follow for test of project visibility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Disposability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User friendly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Cheap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Electrode - sponge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supply-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AC, DC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NFC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Charging then using it.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They also suggested we look into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Constant current approach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circuit with regulated Voltage/ current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into consideration head size and impedance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Calculate how cheap each approach is with component price to evaluate top ⅘ concept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of critical parts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parts and their contributions.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