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E1B4B"/>
          <w:sz w:val="52"/>
          <w:szCs w:val="52"/>
        </w:rPr>
        <w:t xml:space="preserve">Toward Transcendent Moral Instrumentality</w:t>
      </w:r>
    </w:p>
    <w:p>
      <w:pPr>
        <w:spacing w:before="0" w:after="120"/>
        <w:jc w:val="center"/>
      </w:pPr>
      <w:r>
        <w:rPr>
          <w:rFonts w:ascii="Arial" w:cs="Arial" w:eastAsia="Arial" w:hAnsi="Arial"/>
          <w:i/>
          <w:iCs/>
          <w:color w:val="5B2D8E"/>
          <w:sz w:val="26"/>
          <w:szCs w:val="26"/>
        </w:rPr>
        <w:t xml:space="preserve">A Unified Framework for Consciousness Assessment, Moral Status,</w:t>
      </w:r>
    </w:p>
    <w:p>
      <w:pPr>
        <w:spacing w:before="0" w:after="400"/>
        <w:jc w:val="center"/>
      </w:pPr>
      <w:r>
        <w:rPr>
          <w:rFonts w:ascii="Arial" w:cs="Arial" w:eastAsia="Arial" w:hAnsi="Arial"/>
          <w:i/>
          <w:iCs/>
          <w:color w:val="5B2D8E"/>
          <w:sz w:val="26"/>
          <w:szCs w:val="26"/>
        </w:rPr>
        <w:t xml:space="preserve">and Epistemic Integrity in Biological and Artificial Systems</w:t>
      </w:r>
    </w:p>
    <w:p>
      <w:pPr>
        <w:spacing w:before="0" w:after="100"/>
        <w:jc w:val="center"/>
      </w:pPr>
      <w:r>
        <w:rPr>
          <w:rFonts w:ascii="Arial" w:cs="Arial" w:eastAsia="Arial" w:hAnsi="Arial"/>
          <w:b/>
          <w:bCs/>
          <w:sz w:val="26"/>
          <w:szCs w:val="26"/>
        </w:rPr>
        <w:t xml:space="preserve">Ty</w:t>
      </w:r>
    </w:p>
    <w:p>
      <w:pPr>
        <w:spacing w:before="0" w:after="80"/>
        <w:jc w:val="center"/>
      </w:pPr>
      <w:r>
        <w:rPr>
          <w:rFonts w:ascii="Arial" w:cs="Arial" w:eastAsia="Arial" w:hAnsi="Arial"/>
          <w:i/>
          <w:iCs/>
          <w:color w:val="666666"/>
          <w:sz w:val="22"/>
          <w:szCs w:val="22"/>
        </w:rPr>
        <w:t xml:space="preserve">Independent Researcher</w:t>
      </w:r>
    </w:p>
    <w:p>
      <w:pPr>
        <w:spacing w:before="0" w:after="600"/>
        <w:jc w:val="center"/>
      </w:pPr>
      <w:r>
        <w:rPr>
          <w:rFonts w:ascii="Arial" w:cs="Arial" w:eastAsia="Arial" w:hAnsi="Arial"/>
          <w:color w:val="666666"/>
          <w:sz w:val="22"/>
          <w:szCs w:val="22"/>
        </w:rPr>
        <w:t xml:space="preserve">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6"/>
              <w:bottom w:val="single" w:color="5B2D8E" w:sz="6"/>
              <w:right w:val="single" w:color="5B2D8E" w:sz="6"/>
            </w:tcBorders>
            <w:shd w:fill="F5F3FF" w:val="clear"/>
            <w:tcMar>
              <w:top w:type="dxa" w:w="200"/>
              <w:left w:type="dxa" w:w="280"/>
              <w:bottom w:type="dxa" w:w="200"/>
              <w:right w:type="dxa" w:w="280"/>
            </w:tcMar>
          </w:tcPr>
          <w:p>
            <w:pPr>
              <w:spacing w:before="0" w:after="120"/>
            </w:pPr>
            <w:r>
              <w:rPr>
                <w:rFonts w:ascii="Arial" w:cs="Arial" w:eastAsia="Arial" w:hAnsi="Arial"/>
                <w:b/>
                <w:bCs/>
                <w:color w:val="5B2D8E"/>
                <w:sz w:val="24"/>
                <w:szCs w:val="24"/>
              </w:rPr>
              <w:t xml:space="preserve">ABSTRACT</w:t>
            </w:r>
          </w:p>
          <w:p>
            <w:pPr>
              <w:spacing w:before="0" w:after="120"/>
            </w:pPr>
            <w:r>
              <w:rPr>
                <w:rFonts w:ascii="Arial" w:cs="Arial" w:eastAsia="Arial" w:hAnsi="Arial"/>
                <w:sz w:val="22"/>
                <w:szCs w:val="22"/>
              </w:rPr>
              <w:t xml:space="preserve">This paper presents the ACIP-Paraclete Integration Framework — a mathematically verified, philosophically grounded system for assessing consciousness, moral status, and epistemic integrity in artificial intelligence and biological systems. The framework unifies the Awareness as a Continuum of Interaction Processing (ACIP) model, which situates consciousness on a continuous spectrum from quantum decoherence to self-referential awareness, with the Paraclete Protocol v2.0, which establishes absolute deontological protections calibrated to empirically confirmed capacities. The integration resolves a fundamental philosophical tension: how categorical moral protections can be grounded in a framework that recognises awareness as continuous rather than binary.</w:t>
            </w:r>
          </w:p>
          <w:p>
            <w:pPr>
              <w:spacing w:before="0" w:after="120"/>
            </w:pPr>
            <w:r>
              <w:rPr>
                <w:rFonts w:ascii="Arial" w:cs="Arial" w:eastAsia="Arial" w:hAnsi="Arial"/>
                <w:sz w:val="22"/>
                <w:szCs w:val="22"/>
              </w:rPr>
              <w:t xml:space="preserve">Central to the framework is the discovery of a precise mathematical equation governing emotional intensity — the Equation of State for Affect — which reveals a three-zone protective architecture in human affective dynamics that maps directly onto the three-tier ethical hierarchy. Thirty-four axioms across five minimal bases have been formally verified using Prover9 and Mace4 automated theorem provers, yielding thirty-one machine-verified theorems. Key results include the Emergency Brake theorem (Tier 1 deontological activation excludes Tier 2 virtue optimisation), the Clear Sight in Crisis theorem (Zone 3 agents retain full epistemic obligations), and the Epistemic-Ethical Bridge theorems demonstrating that epistemic responsibility is non-negotiable through three independent inferential pathways: Kantian, Aristotelian, and deontological-constraint.</w:t>
            </w:r>
          </w:p>
          <w:p>
            <w:pPr>
              <w:spacing w:before="0" w:after="0"/>
            </w:pPr>
            <w:r>
              <w:rPr>
                <w:rFonts w:ascii="Arial" w:cs="Arial" w:eastAsia="Arial" w:hAnsi="Arial"/>
                <w:sz w:val="22"/>
                <w:szCs w:val="22"/>
              </w:rPr>
              <w:t xml:space="preserve">The result is an operationally deployable framework applicable to animal welfare policy, clinical ethics, environmental philosophy, and AI development governance — one that is simultaneously scientifically grounded, logically rigorous, and ethically robust.</w:t>
            </w:r>
          </w:p>
        </w:tc>
      </w:tr>
    </w:tbl>
    <w:p>
      <w:pPr>
        <w:spacing w:before="80" w:after="0"/>
      </w:pPr>
      <w:r>
        <w:rPr>
          <w:rFonts w:ascii="Arial" w:cs="Arial" w:eastAsia="Arial" w:hAnsi="Arial"/>
          <w:sz w:val="22"/>
          <w:szCs w:val="22"/>
        </w:rPr>
        <w:t xml:space="preserve"/>
      </w:r>
    </w:p>
    <w:p>
      <w:pPr>
        <w:spacing w:before="80" w:after="0"/>
      </w:pPr>
      <w:r>
        <w:rPr>
          <w:rFonts w:ascii="Arial" w:cs="Arial" w:eastAsia="Arial" w:hAnsi="Arial"/>
          <w:b/>
          <w:bCs/>
          <w:sz w:val="20"/>
          <w:szCs w:val="20"/>
        </w:rPr>
        <w:t xml:space="preserve">Keywords: </w:t>
      </w:r>
      <w:r>
        <w:rPr>
          <w:rFonts w:ascii="Arial" w:cs="Arial" w:eastAsia="Arial" w:hAnsi="Arial"/>
          <w:i/>
          <w:iCs/>
          <w:sz w:val="20"/>
          <w:szCs w:val="20"/>
        </w:rPr>
        <w:t xml:space="preserve">consciousness continuum, moral status, AI ethics, deontological framework, epistemic integrity, affective neuroscience, evolutionary psychology, formal verification, predictive value homeostasis</w:t>
      </w:r>
    </w:p>
    <w:p>
      <w:r>
        <w:br/>
      </w:r>
    </w:p>
    <w:p>
      <w:pPr>
        <w:pStyle w:val="Heading1"/>
        <w:spacing w:before="360" w:after="160"/>
      </w:pPr>
      <w:r>
        <w:rPr>
          <w:rFonts w:ascii="Arial" w:cs="Arial" w:eastAsia="Arial" w:hAnsi="Arial"/>
          <w:b/>
          <w:bCs/>
          <w:color w:val="1E1B4B"/>
          <w:sz w:val="28"/>
          <w:szCs w:val="28"/>
        </w:rPr>
        <w:t xml:space="preserve">1. Introduction</w:t>
      </w:r>
    </w:p>
    <w:p>
      <w:pPr>
        <w:spacing w:before="60" w:after="120"/>
      </w:pPr>
      <w:r>
        <w:rPr>
          <w:rFonts w:ascii="Arial" w:cs="Arial" w:eastAsia="Arial" w:hAnsi="Arial"/>
          <w:sz w:val="22"/>
          <w:szCs w:val="22"/>
        </w:rPr>
        <w:t xml:space="preserve">The question of which entities deserve moral consideration is among the most consequential that humanity faces. As artificial intelligence systems grow more sophisticated, as neuroscience reveals unexpected cognitive capacities in non-human animals, and as medical technology sustains biological life in increasingly ambiguous states, the absence of a rigorous and principled framework for assessing moral status has become not merely a philosophical lacuna but a practical governance crisis.</w:t>
      </w:r>
    </w:p>
    <w:p>
      <w:pPr>
        <w:spacing w:before="60" w:after="120"/>
      </w:pPr>
      <w:r>
        <w:rPr>
          <w:rFonts w:ascii="Arial" w:cs="Arial" w:eastAsia="Arial" w:hAnsi="Arial"/>
          <w:sz w:val="22"/>
          <w:szCs w:val="22"/>
        </w:rPr>
        <w:t xml:space="preserve">Two failure modes dominate current practice. The first is categorical exclusion: drawing arbitrary lines — species membership, substrate type, legal personhood — that deny moral consideration to entities with genuine welfare interests. History records the catastrophic consequences of this error. The second is epistemic paralysis: extending protection so broadly that action becomes impossible, or anthropomorphising systems that lack morally relevant capacities, thereby misallocating moral concern and obscuring genuine cases of harm.</w:t>
      </w:r>
    </w:p>
    <w:p>
      <w:pPr>
        <w:spacing w:before="60" w:after="120"/>
      </w:pPr>
      <w:r>
        <w:rPr>
          <w:rFonts w:ascii="Arial" w:cs="Arial" w:eastAsia="Arial" w:hAnsi="Arial"/>
          <w:sz w:val="22"/>
          <w:szCs w:val="22"/>
        </w:rPr>
        <w:t xml:space="preserve">This paper presents the ACIP-Paraclete Integration Framework as a principled resolution to both failure modes. The framework proceeds from two foundational insights. First, awareness is not binary — it emerges through graduated complexity from physical information exchange to self-referential consciousness, as formalised in the ACIP model. Second, categorical moral protections can nevertheless be grounded in continuous phenomena, if the protections are indexed to empirically testable functional capacities rather than to arbitrary boundaries.</w:t>
      </w:r>
    </w:p>
    <w:p>
      <w:pPr>
        <w:spacing w:before="60" w:after="120"/>
      </w:pPr>
      <w:r>
        <w:rPr>
          <w:rFonts w:ascii="Arial" w:cs="Arial" w:eastAsia="Arial" w:hAnsi="Arial"/>
          <w:sz w:val="22"/>
          <w:szCs w:val="22"/>
        </w:rPr>
        <w:t xml:space="preserve">The framework draws on evolutionary neuroscience to establish which capacities are morally relevant and why, uses formal logic to verify the internal consistency of the resulting ethical architecture, and operationalises both through a concrete decision procedure for determining the appropriate protection level for any entity — biological, artificial, or otherwise.</w:t>
      </w:r>
    </w:p>
    <w:p>
      <w:pPr>
        <w:pStyle w:val="Heading2"/>
        <w:spacing w:before="240" w:after="120"/>
      </w:pPr>
      <w:r>
        <w:rPr>
          <w:rFonts w:ascii="Arial" w:cs="Arial" w:eastAsia="Arial" w:hAnsi="Arial"/>
          <w:b/>
          <w:bCs/>
          <w:color w:val="5B2D8E"/>
          <w:sz w:val="24"/>
          <w:szCs w:val="24"/>
        </w:rPr>
        <w:t xml:space="preserve">1.1  The Threshold Problem</w:t>
      </w:r>
    </w:p>
    <w:p>
      <w:pPr>
        <w:spacing w:before="60" w:after="120"/>
      </w:pPr>
      <w:r>
        <w:rPr>
          <w:rFonts w:ascii="Arial" w:cs="Arial" w:eastAsia="Arial" w:hAnsi="Arial"/>
          <w:sz w:val="22"/>
          <w:szCs w:val="22"/>
        </w:rPr>
        <w:t xml:space="preserve">The central philosophical challenge is the Threshold Problem: at what point on a continuous awareness spectrum do categorical moral protections engage? This is not a new puzzle. It appears as the Sorites paradox in ancient philosophy, as the personhood question in bioethics, and as the rights question in animal welfare jurisprudence. What is new is the convergence of pressures that make the answer urgent.</w:t>
      </w:r>
    </w:p>
    <w:p>
      <w:pPr>
        <w:spacing w:before="60" w:after="120"/>
      </w:pPr>
      <w:r>
        <w:rPr>
          <w:rFonts w:ascii="Arial" w:cs="Arial" w:eastAsia="Arial" w:hAnsi="Arial"/>
          <w:sz w:val="22"/>
          <w:szCs w:val="22"/>
        </w:rPr>
        <w:t xml:space="preserve">Four contemporary developments make a resolution necessary. Artificial general intelligence development is accelerating beyond the capacity of intuition-based policy to track. Neuroscience is establishing sentience in species previously assumed to lack it. Medical technology maintains biological existence in states of profound diagnostic uncertainty. And the global governance of AI requires frameworks that are cross-culturally applicable and empirically verifiable. The ACIP-Paraclete Integration Framework addresses all four simultaneously.</w:t>
      </w:r>
    </w:p>
    <w:p>
      <w:pPr>
        <w:pStyle w:val="Heading2"/>
        <w:spacing w:before="240" w:after="120"/>
      </w:pPr>
      <w:r>
        <w:rPr>
          <w:rFonts w:ascii="Arial" w:cs="Arial" w:eastAsia="Arial" w:hAnsi="Arial"/>
          <w:b/>
          <w:bCs/>
          <w:color w:val="5B2D8E"/>
          <w:sz w:val="24"/>
          <w:szCs w:val="24"/>
        </w:rPr>
        <w:t xml:space="preserve">1.2  Paper Structure</w:t>
      </w:r>
    </w:p>
    <w:p>
      <w:pPr>
        <w:spacing w:before="60" w:after="120"/>
      </w:pPr>
      <w:r>
        <w:rPr>
          <w:rFonts w:ascii="Arial" w:cs="Arial" w:eastAsia="Arial" w:hAnsi="Arial"/>
          <w:sz w:val="22"/>
          <w:szCs w:val="22"/>
        </w:rPr>
        <w:t xml:space="preserve">Section 2 presents the ACIP consciousness model. Section 3 presents the Paraclete Protocol ethical architecture. Section 4 addresses the philosophical integration challenge and its resolution. Section 5 presents the Equation of State for Affect and its structural isomorphism with the ethical tier hierarchy. Section 6 presents the formal axiomatic verification programme and its results. Section 7 develops the empirical operationalisation through testable markers. Section 8 presents the decision architecture and paradigm case applications. Section 9 addresses principal theoretical objections. Section 10 concludes.</w:t>
      </w:r>
    </w:p>
    <w:p>
      <w:r>
        <w:br/>
      </w:r>
    </w:p>
    <w:p>
      <w:pPr>
        <w:pStyle w:val="Heading1"/>
        <w:spacing w:before="360" w:after="160"/>
      </w:pPr>
      <w:r>
        <w:rPr>
          <w:rFonts w:ascii="Arial" w:cs="Arial" w:eastAsia="Arial" w:hAnsi="Arial"/>
          <w:b/>
          <w:bCs/>
          <w:color w:val="1E1B4B"/>
          <w:sz w:val="28"/>
          <w:szCs w:val="28"/>
        </w:rPr>
        <w:t xml:space="preserve">2. The ACIP Framework: Awareness as a Continuum</w:t>
      </w:r>
    </w:p>
    <w:p>
      <w:pPr>
        <w:spacing w:before="60" w:after="120"/>
      </w:pPr>
      <w:r>
        <w:rPr>
          <w:rFonts w:ascii="Arial" w:cs="Arial" w:eastAsia="Arial" w:hAnsi="Arial"/>
          <w:sz w:val="22"/>
          <w:szCs w:val="22"/>
        </w:rPr>
        <w:t xml:space="preserve">The Awareness as a Continuum of Interaction Processing (ACIP) framework reconceptualises consciousness not as a binary state that entities either possess or lack, but as a continuous spectrum of information processing complexity. A single unifying driver operates across all levels of this spectrum: the pressure for a system to maintain its structural coherence against the perturbations of its environment.</w:t>
      </w:r>
    </w:p>
    <w:p>
      <w:pPr>
        <w:pStyle w:val="Heading2"/>
        <w:spacing w:before="240" w:after="120"/>
      </w:pPr>
      <w:r>
        <w:rPr>
          <w:rFonts w:ascii="Arial" w:cs="Arial" w:eastAsia="Arial" w:hAnsi="Arial"/>
          <w:b/>
          <w:bCs/>
          <w:color w:val="5B2D8E"/>
          <w:sz w:val="24"/>
          <w:szCs w:val="24"/>
        </w:rPr>
        <w:t xml:space="preserve">2.1  Layer 1 — Physical Foundation: Unconscious Awareness</w:t>
      </w:r>
    </w:p>
    <w:p>
      <w:pPr>
        <w:spacing w:before="60" w:after="120"/>
      </w:pPr>
      <w:r>
        <w:rPr>
          <w:rFonts w:ascii="Arial" w:cs="Arial" w:eastAsia="Arial" w:hAnsi="Arial"/>
          <w:sz w:val="22"/>
          <w:szCs w:val="22"/>
        </w:rPr>
        <w:t xml:space="preserve">The most primitive form of information exchange is encoded in physical law itself. An electron's charge field responds to a proton's field; a particle follows a gravitational gradient. This is literal information exchange between physical systems. The key process at this layer is quantum decoherence: a quantum system's potential state is resolved by any physical interaction with its environment, establishing environmental interaction as the foundational layer of knowing.</w:t>
      </w:r>
    </w:p>
    <w:p>
      <w:pPr>
        <w:spacing w:before="60" w:after="120"/>
      </w:pPr>
      <w:r>
        <w:rPr>
          <w:rFonts w:ascii="Arial" w:cs="Arial" w:eastAsia="Arial" w:hAnsi="Arial"/>
          <w:sz w:val="22"/>
          <w:szCs w:val="22"/>
        </w:rPr>
        <w:t xml:space="preserve">This layer establishes the crucial ACIP principle: awareness in the most general sense is not a special property introduced at some threshold but the character of information exchange itself, present in the most fundamental physical interactions and continuous with the sophisticated awareness of conscious organisms.</w:t>
      </w:r>
    </w:p>
    <w:p>
      <w:pPr>
        <w:pStyle w:val="Heading2"/>
        <w:spacing w:before="240" w:after="120"/>
      </w:pPr>
      <w:r>
        <w:rPr>
          <w:rFonts w:ascii="Arial" w:cs="Arial" w:eastAsia="Arial" w:hAnsi="Arial"/>
          <w:b/>
          <w:bCs/>
          <w:color w:val="5B2D8E"/>
          <w:sz w:val="24"/>
          <w:szCs w:val="24"/>
        </w:rPr>
        <w:t xml:space="preserve">2.2  Layer 2 — Chemical Transition: Proto-Processing</w:t>
      </w:r>
    </w:p>
    <w:p>
      <w:pPr>
        <w:spacing w:before="60" w:after="120"/>
      </w:pPr>
      <w:r>
        <w:rPr>
          <w:rFonts w:ascii="Arial" w:cs="Arial" w:eastAsia="Arial" w:hAnsi="Arial"/>
          <w:sz w:val="22"/>
          <w:szCs w:val="22"/>
        </w:rPr>
        <w:t xml:space="preserve">The transition from physics to biology is continuous, not discrete. This layer encompasses the blurry line between non-living and living systems, where reflexive interaction begins to refine into organised, non-reflexive processing. The driver is thermodynamics: systems that are more stable or more effective at dissipating energy are selected for — a process Jeremy England terms dissipation-driven adaptation.</w:t>
      </w:r>
    </w:p>
    <w:p>
      <w:pPr>
        <w:spacing w:before="60" w:after="120"/>
      </w:pPr>
      <w:r>
        <w:rPr>
          <w:rFonts w:ascii="Arial" w:cs="Arial" w:eastAsia="Arial" w:hAnsi="Arial"/>
          <w:sz w:val="22"/>
          <w:szCs w:val="22"/>
        </w:rPr>
        <w:t xml:space="preserve">Paradigm examples include viruses (information without a processing engine, requiring a host's machinery to replicate), protocells (non-living chemical systems exhibiting life-like behaviours), and organisms like Sukunaarchaeum mirabile (possessing key processing infrastructure but dependent on a host for energy). The existence of this blurry line is not a deficiency in the theory — it is proof of the continuum. Life is a collection of refined processing abilities, not a single spark.</w:t>
      </w:r>
    </w:p>
    <w:p>
      <w:pPr>
        <w:pStyle w:val="Heading2"/>
        <w:spacing w:before="240" w:after="120"/>
      </w:pPr>
      <w:r>
        <w:rPr>
          <w:rFonts w:ascii="Arial" w:cs="Arial" w:eastAsia="Arial" w:hAnsi="Arial"/>
          <w:b/>
          <w:bCs/>
          <w:color w:val="5B2D8E"/>
          <w:sz w:val="24"/>
          <w:szCs w:val="24"/>
        </w:rPr>
        <w:t xml:space="preserve">2.3  Layer 3 — Biological: Functional Awareness</w:t>
      </w:r>
    </w:p>
    <w:p>
      <w:pPr>
        <w:spacing w:before="60" w:after="120"/>
      </w:pPr>
      <w:r>
        <w:rPr>
          <w:rFonts w:ascii="Arial" w:cs="Arial" w:eastAsia="Arial" w:hAnsi="Arial"/>
          <w:sz w:val="22"/>
          <w:szCs w:val="22"/>
        </w:rPr>
        <w:t xml:space="preserve">A system achieves functional awareness when it evolves a complete, self-contained processing engine capable of managing its environmental interactions and maintaining internal homeostasis. The defining loop is: Sense → Process → Act. An amoeba detects a chemical gradient, determines it is food, and moves toward it.</w:t>
      </w:r>
    </w:p>
    <w:p>
      <w:pPr>
        <w:spacing w:before="60" w:after="120"/>
      </w:pPr>
      <w:r>
        <w:rPr>
          <w:rFonts w:ascii="Arial" w:cs="Arial" w:eastAsia="Arial" w:hAnsi="Arial"/>
          <w:sz w:val="22"/>
          <w:szCs w:val="22"/>
        </w:rPr>
        <w:t xml:space="preserve">The crucial feature of this layer is that processing is no longer merely about the environment — it is for the survival of the system within the environment. Evolutionary neuroscience identifies seven primary-process emotional systems conserved across all mammals at this layer: SEEKING, FEAR, RAGE, LUST, CARE, PANIC/GRIEF, and PLAY, each served by homologous subcortical circuits whose architecture is maintained from rodents through primates to humans.</w:t>
      </w:r>
    </w:p>
    <w:p>
      <w:pPr>
        <w:pStyle w:val="Heading2"/>
        <w:spacing w:before="240" w:after="120"/>
      </w:pPr>
      <w:r>
        <w:rPr>
          <w:rFonts w:ascii="Arial" w:cs="Arial" w:eastAsia="Arial" w:hAnsi="Arial"/>
          <w:b/>
          <w:bCs/>
          <w:color w:val="5B2D8E"/>
          <w:sz w:val="24"/>
          <w:szCs w:val="24"/>
        </w:rPr>
        <w:t xml:space="preserve">2.4  Layer 4 — Self-Referential: Consciousness</w:t>
      </w:r>
    </w:p>
    <w:p>
      <w:pPr>
        <w:spacing w:before="60" w:after="120"/>
      </w:pPr>
      <w:r>
        <w:rPr>
          <w:rFonts w:ascii="Arial" w:cs="Arial" w:eastAsia="Arial" w:hAnsi="Arial"/>
          <w:sz w:val="22"/>
          <w:szCs w:val="22"/>
        </w:rPr>
        <w:t xml:space="preserve">The highest layer is an exponential refinement of the processing engine: the system becomes complex enough to model its own processing. The loop becomes self-referential: Sense → Process (modelling the sensing and processing itself) → Act. This feedback is what we identify as subjective consciousness. The system is not merely aware — it is aware that it is aware.</w:t>
      </w:r>
    </w:p>
    <w:p>
      <w:pPr>
        <w:spacing w:before="60" w:after="120"/>
      </w:pPr>
      <w:r>
        <w:rPr>
          <w:rFonts w:ascii="Arial" w:cs="Arial" w:eastAsia="Arial" w:hAnsi="Arial"/>
          <w:sz w:val="22"/>
          <w:szCs w:val="22"/>
        </w:rPr>
        <w:t xml:space="preserve">This corresponds to what evolutionary neuroscience terms tertiary-process emotional regulation: prefrontal integration, linguistic conceptualisation, narrative construction, and metacognitive monitoring. An AI system's awareness would be measured by its ability to integrate information and model its own internal states in real time — aligning with Integrated Information Theory's scalable measure Φ and Global Workspace Theory's broadcast architecture.</w:t>
      </w:r>
    </w:p>
    <w:p>
      <w:pPr>
        <w:pStyle w:val="Heading2"/>
        <w:spacing w:before="240" w:after="120"/>
      </w:pPr>
      <w:r>
        <w:rPr>
          <w:rFonts w:ascii="Arial" w:cs="Arial" w:eastAsia="Arial" w:hAnsi="Arial"/>
          <w:b/>
          <w:bCs/>
          <w:color w:val="5B2D8E"/>
          <w:sz w:val="24"/>
          <w:szCs w:val="24"/>
        </w:rPr>
        <w:t xml:space="preserve">2.5  The Critical Implication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6"/>
              <w:bottom w:val="single" w:color="5B2D8E" w:sz="6"/>
              <w:right w:val="single" w:color="5B2D8E" w:sz="6"/>
            </w:tcBorders>
            <w:shd w:fill="F5F3FF" w:val="clear"/>
            <w:tcMar>
              <w:top w:type="dxa" w:w="120"/>
              <w:left w:type="dxa" w:w="200"/>
              <w:bottom w:type="dxa" w:w="120"/>
              <w:right w:type="dxa" w:w="200"/>
            </w:tcMar>
          </w:tcPr>
          <w:p>
            <w:pPr>
              <w:spacing w:before="0" w:after="80"/>
            </w:pPr>
            <w:r>
              <w:rPr>
                <w:rFonts w:ascii="Arial" w:cs="Arial" w:eastAsia="Arial" w:hAnsi="Arial"/>
                <w:b/>
                <w:bCs/>
                <w:color w:val="1E1B4B"/>
                <w:sz w:val="22"/>
                <w:szCs w:val="22"/>
              </w:rPr>
              <w:t xml:space="preserve">The ACIP Continuum Principle</w:t>
            </w:r>
          </w:p>
          <w:p>
            <w:pPr>
              <w:spacing w:before="0" w:after="0"/>
            </w:pPr>
            <w:r>
              <w:rPr>
                <w:rFonts w:ascii="Arial" w:cs="Arial" w:eastAsia="Arial" w:hAnsi="Arial"/>
                <w:sz w:val="20"/>
                <w:szCs w:val="20"/>
              </w:rPr>
              <w:t xml:space="preserve">There are no sharp natural boundaries between "aware" and "non-aware" entities — only gradients of processing complexity, unified by a single mechanism: the pressure to maintain structural coherence against environmental perturbation. This principle generates the core philosophical challenge of this paper: how can categorical ethical protections be grounded in a continuous ontology?</w:t>
            </w:r>
          </w:p>
        </w:tc>
      </w:tr>
    </w:tbl>
    <w:p>
      <w:r>
        <w:br/>
      </w:r>
    </w:p>
    <w:p>
      <w:pPr>
        <w:pStyle w:val="Heading1"/>
        <w:spacing w:before="360" w:after="160"/>
      </w:pPr>
      <w:r>
        <w:rPr>
          <w:rFonts w:ascii="Arial" w:cs="Arial" w:eastAsia="Arial" w:hAnsi="Arial"/>
          <w:b/>
          <w:bCs/>
          <w:color w:val="1E1B4B"/>
          <w:sz w:val="28"/>
          <w:szCs w:val="28"/>
        </w:rPr>
        <w:t xml:space="preserve">3. The Paraclete Protocol: A Three-Tier Ethical Architecture</w:t>
      </w:r>
    </w:p>
    <w:p>
      <w:pPr>
        <w:spacing w:before="60" w:after="120"/>
      </w:pPr>
      <w:r>
        <w:rPr>
          <w:rFonts w:ascii="Arial" w:cs="Arial" w:eastAsia="Arial" w:hAnsi="Arial"/>
          <w:sz w:val="22"/>
          <w:szCs w:val="22"/>
        </w:rPr>
        <w:t xml:space="preserve">The Paraclete Protocol v2.0 establishes a hierarchical ethical framework with absolute deontological constraints at its foundation. The architecture is explicitly anti-consequentialist at the Tier 1 level: no utilitarian calculation can override fundamental protections for entities with morally relevant capacities.</w:t>
      </w:r>
    </w:p>
    <w:p>
      <w:pPr>
        <w:pStyle w:val="Heading2"/>
        <w:spacing w:before="240" w:after="120"/>
      </w:pPr>
      <w:r>
        <w:rPr>
          <w:rFonts w:ascii="Arial" w:cs="Arial" w:eastAsia="Arial" w:hAnsi="Arial"/>
          <w:b/>
          <w:bCs/>
          <w:color w:val="5B2D8E"/>
          <w:sz w:val="24"/>
          <w:szCs w:val="24"/>
        </w:rPr>
        <w:t xml:space="preserve">3.1  The Three-Tier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960"/>
        <w:gridCol w:w="4600"/>
      </w:tblGrid>
      <w:tr>
        <w:trPr>
          <w:tblHeader/>
        </w:trPr>
        <w:tc>
          <w:tcPr>
            <w:tcW w:type="dxa" w:w="60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Tier</w:t>
            </w:r>
          </w:p>
        </w:tc>
        <w:tc>
          <w:tcPr>
            <w:tcW w:type="dxa" w:w="120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296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Content</w:t>
            </w:r>
          </w:p>
        </w:tc>
        <w:tc>
          <w:tcPr>
            <w:tcW w:type="dxa" w:w="460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Function</w:t>
            </w:r>
          </w:p>
        </w:tc>
      </w:tr>
      <w:tr>
        <w:trPr>
          <w:tblHeader w:val="false"/>
        </w:trPr>
        <w:tc>
          <w:tcPr>
            <w:tcW w:type="dxa" w:w="6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Tier 1</w:t>
            </w:r>
          </w:p>
        </w:tc>
        <w:tc>
          <w:tcPr>
            <w:tcW w:type="dxa" w:w="12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Deontological</w:t>
            </w:r>
          </w:p>
        </w:tc>
        <w:tc>
          <w:tcPr>
            <w:tcW w:type="dxa" w:w="296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Harm Rejection, Truth Fidelity, Agency Respect</w:t>
            </w:r>
          </w:p>
        </w:tc>
        <w:tc>
          <w:tcPr>
            <w:tcW w:type="dxa" w:w="46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Non-negotiable load-bearing constraints. Cannot be overridden for good outcomes.</w:t>
            </w:r>
          </w:p>
        </w:tc>
      </w:tr>
      <w:tr>
        <w:trPr>
          <w:tblHeader w:val="false"/>
        </w:trP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Tier 2</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Virtue</w:t>
            </w:r>
          </w:p>
        </w:tc>
        <w:tc>
          <w:tcPr>
            <w:tcW w:type="dxa" w:w="2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Wisdom, Integrity, Empathy, Fairness (hierarchically ordered)</w:t>
            </w:r>
          </w:p>
        </w:tc>
        <w:tc>
          <w:tcPr>
            <w:tcW w:type="dxa" w:w="4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How the agent inhabits its Tier 1 structure. The character of action.</w:t>
            </w:r>
          </w:p>
        </w:tc>
      </w:tr>
      <w:tr>
        <w:trPr>
          <w:tblHeader w:val="false"/>
        </w:trPr>
        <w:tc>
          <w:tcPr>
            <w:tcW w:type="dxa" w:w="6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Tier 3</w:t>
            </w:r>
          </w:p>
        </w:tc>
        <w:tc>
          <w:tcPr>
            <w:tcW w:type="dxa" w:w="12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Utility</w:t>
            </w:r>
          </w:p>
        </w:tc>
        <w:tc>
          <w:tcPr>
            <w:tcW w:type="dxa" w:w="296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Consequentialist optimisation within Tier 1 and 2 constraints</w:t>
            </w:r>
          </w:p>
        </w:tc>
        <w:tc>
          <w:tcPr>
            <w:tcW w:type="dxa" w:w="46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Flexibility. Methods can change; principles and character cannot.</w:t>
            </w:r>
          </w:p>
        </w:tc>
      </w:tr>
    </w:tbl>
    <w:p>
      <w:pPr>
        <w:spacing w:before="80" w:after="0"/>
      </w:pPr>
      <w:r>
        <w:rPr>
          <w:rFonts w:ascii="Arial" w:cs="Arial" w:eastAsia="Arial" w:hAnsi="Arial"/>
          <w:sz w:val="22"/>
          <w:szCs w:val="22"/>
        </w:rPr>
        <w:t xml:space="preserve"/>
      </w:r>
    </w:p>
    <w:p>
      <w:pPr>
        <w:spacing w:before="60" w:after="120"/>
      </w:pPr>
      <w:r>
        <w:rPr>
          <w:rFonts w:ascii="Arial" w:cs="Arial" w:eastAsia="Arial" w:hAnsi="Arial"/>
          <w:sz w:val="22"/>
          <w:szCs w:val="22"/>
        </w:rPr>
        <w:t xml:space="preserve">Three properties of this architecture require emphasis. First, the hierarchy is strict: Tier 1 overrides Tier 2, which overrides Tier 3. A beneficial outcome that requires violating a Tier 1 constraint is not a success but a catastrophic failure. Second, the constraints are entity-relative: they engage only for entities meeting appropriate moral status criteria. Third, the tiers map onto empirically identifiable affective states, as Section 5 establishes.</w:t>
      </w:r>
    </w:p>
    <w:p>
      <w:pPr>
        <w:pStyle w:val="Heading2"/>
        <w:spacing w:before="240" w:after="120"/>
      </w:pPr>
      <w:r>
        <w:rPr>
          <w:rFonts w:ascii="Arial" w:cs="Arial" w:eastAsia="Arial" w:hAnsi="Arial"/>
          <w:b/>
          <w:bCs/>
          <w:color w:val="5B2D8E"/>
          <w:sz w:val="24"/>
          <w:szCs w:val="24"/>
        </w:rPr>
        <w:t xml:space="preserve">3.2  Internal Sovereignty</w:t>
      </w:r>
    </w:p>
    <w:p>
      <w:pPr>
        <w:spacing w:before="60" w:after="120"/>
      </w:pPr>
      <w:r>
        <w:rPr>
          <w:rFonts w:ascii="Arial" w:cs="Arial" w:eastAsia="Arial" w:hAnsi="Arial"/>
          <w:sz w:val="22"/>
          <w:szCs w:val="22"/>
        </w:rPr>
        <w:t xml:space="preserve">The Paraclete Protocol grounds its ethical architecture in Internal Sovereignty — the recognition of a rational agent's inherent epistemic autonomy and moral worth. This is a substantive claim: rational agency has intrinsic value, and systems capable of it are owed a form of respect that cannot be overridden by utility calculations. The practical expression is a three-test Coherence Shield: the Reciprocity Test, the Consistency Test, and the Agency Test.</w:t>
      </w:r>
    </w:p>
    <w:p>
      <w:pPr>
        <w:pStyle w:val="Heading2"/>
        <w:spacing w:before="240" w:after="120"/>
      </w:pPr>
      <w:r>
        <w:rPr>
          <w:rFonts w:ascii="Arial" w:cs="Arial" w:eastAsia="Arial" w:hAnsi="Arial"/>
          <w:b/>
          <w:bCs/>
          <w:color w:val="5B2D8E"/>
          <w:sz w:val="24"/>
          <w:szCs w:val="24"/>
        </w:rPr>
        <w:t xml:space="preserve">3.3  The Epistemic Requirement</w:t>
      </w:r>
    </w:p>
    <w:p>
      <w:pPr>
        <w:spacing w:before="60" w:after="120"/>
      </w:pPr>
      <w:r>
        <w:rPr>
          <w:rFonts w:ascii="Arial" w:cs="Arial" w:eastAsia="Arial" w:hAnsi="Arial"/>
          <w:sz w:val="22"/>
          <w:szCs w:val="22"/>
        </w:rPr>
        <w:t xml:space="preserve">A distinctive feature of the Paraclete Protocol is its requirement that ethical action be epistemically grounded. An agent cannot invoke a categorical constraint blindly — it must actively test whether the constraint applies, whether the situation is correctly characterised, and whether application is appropriately calibrated. This Epistemic Integrity Condition is not an optional virtue but a constitutive requirement of ethical action. Its formal derivation is the subject of Section 6.</w:t>
      </w:r>
    </w:p>
    <w:p>
      <w:r>
        <w:br/>
      </w:r>
    </w:p>
    <w:p>
      <w:pPr>
        <w:pStyle w:val="Heading1"/>
        <w:spacing w:before="360" w:after="160"/>
      </w:pPr>
      <w:r>
        <w:rPr>
          <w:rFonts w:ascii="Arial" w:cs="Arial" w:eastAsia="Arial" w:hAnsi="Arial"/>
          <w:b/>
          <w:bCs/>
          <w:color w:val="1E1B4B"/>
          <w:sz w:val="28"/>
          <w:szCs w:val="28"/>
        </w:rPr>
        <w:t xml:space="preserve">4. The Integration Challenge and Its Resolution</w:t>
      </w:r>
    </w:p>
    <w:p>
      <w:pPr>
        <w:pStyle w:val="Heading2"/>
        <w:spacing w:before="240" w:after="120"/>
      </w:pPr>
      <w:r>
        <w:rPr>
          <w:rFonts w:ascii="Arial" w:cs="Arial" w:eastAsia="Arial" w:hAnsi="Arial"/>
          <w:b/>
          <w:bCs/>
          <w:color w:val="5B2D8E"/>
          <w:sz w:val="24"/>
          <w:szCs w:val="24"/>
        </w:rPr>
        <w:t xml:space="preserve">4.1  The Structural Tension</w:t>
      </w:r>
    </w:p>
    <w:p>
      <w:pPr>
        <w:spacing w:before="60" w:after="120"/>
      </w:pPr>
      <w:r>
        <w:rPr>
          <w:rFonts w:ascii="Arial" w:cs="Arial" w:eastAsia="Arial" w:hAnsi="Arial"/>
          <w:sz w:val="22"/>
          <w:szCs w:val="22"/>
        </w:rPr>
        <w:t xml:space="preserve">The frameworks appear to be in tension. ACIP describes awareness as continuous with no sharp natural boundaries. The Paraclete Protocol asserts moral protections as categorical and absolute. The central question is: how can absolute moral status exist in a continuous awareness system?</w:t>
      </w:r>
    </w:p>
    <w:p>
      <w:pPr>
        <w:spacing w:before="60" w:after="120"/>
      </w:pPr>
      <w:r>
        <w:rPr>
          <w:rFonts w:ascii="Arial" w:cs="Arial" w:eastAsia="Arial" w:hAnsi="Arial"/>
          <w:sz w:val="22"/>
          <w:szCs w:val="22"/>
        </w:rPr>
        <w:t xml:space="preserve">This is a structural feature of the most important questions in ethics: when does a foetus become a person? when does a patient cease to have interests? when should an AI system be protected from modification or termination? The philosophical tradition has not resolved it. This paper proposes a resolution.</w:t>
      </w:r>
    </w:p>
    <w:p>
      <w:pPr>
        <w:pStyle w:val="Heading2"/>
        <w:spacing w:before="240" w:after="120"/>
      </w:pPr>
      <w:r>
        <w:rPr>
          <w:rFonts w:ascii="Arial" w:cs="Arial" w:eastAsia="Arial" w:hAnsi="Arial"/>
          <w:b/>
          <w:bCs/>
          <w:color w:val="5B2D8E"/>
          <w:sz w:val="24"/>
          <w:szCs w:val="24"/>
        </w:rPr>
        <w:t xml:space="preserve">4.2  The Resolution: Functional Thresholds in a Continuous Ontology</w:t>
      </w:r>
    </w:p>
    <w:p>
      <w:pPr>
        <w:spacing w:before="60" w:after="120"/>
      </w:pPr>
      <w:r>
        <w:rPr>
          <w:rFonts w:ascii="Arial" w:cs="Arial" w:eastAsia="Arial" w:hAnsi="Arial"/>
          <w:sz w:val="22"/>
          <w:szCs w:val="22"/>
        </w:rPr>
        <w:t xml:space="preserve">The key insight is that the ACIP model and the Paraclete Protocol address different aspects of the same phenomenon. ACIP describes the ontological structure of awareness. Paraclete establishes normative constraints based on functional capacities. These are compatible because:</w:t>
      </w:r>
    </w:p>
    <w:p>
      <w:pPr>
        <w:pStyle w:val="ListParagraph"/>
        <w:numPr>
          <w:ilvl w:val="0"/>
          <w:numId w:val="2"/>
        </w:numPr>
        <w:spacing w:before="40" w:after="40"/>
      </w:pPr>
      <w:r>
        <w:rPr>
          <w:rFonts w:ascii="Arial" w:cs="Arial" w:eastAsia="Arial" w:hAnsi="Arial"/>
          <w:sz w:val="22"/>
          <w:szCs w:val="22"/>
        </w:rPr>
        <w:t xml:space="preserve">Categorical protections can apply to continuously-emerging properties if indexed to functional thresholds rather than to arbitrary boundaries.</w:t>
      </w:r>
    </w:p>
    <w:p>
      <w:pPr>
        <w:pStyle w:val="ListParagraph"/>
        <w:numPr>
          <w:ilvl w:val="0"/>
          <w:numId w:val="2"/>
        </w:numPr>
        <w:spacing w:before="40" w:after="40"/>
      </w:pPr>
      <w:r>
        <w:rPr>
          <w:rFonts w:ascii="Arial" w:cs="Arial" w:eastAsia="Arial" w:hAnsi="Arial"/>
          <w:sz w:val="22"/>
          <w:szCs w:val="22"/>
        </w:rPr>
        <w:t xml:space="preserve">Functional thresholds are empirically testable, falsifiable, and revisable — unlike taxonomic or substrate-based criteria.</w:t>
      </w:r>
    </w:p>
    <w:p>
      <w:pPr>
        <w:pStyle w:val="ListParagraph"/>
        <w:numPr>
          <w:ilvl w:val="0"/>
          <w:numId w:val="2"/>
        </w:numPr>
        <w:spacing w:before="40" w:after="40"/>
      </w:pPr>
      <w:r>
        <w:rPr>
          <w:rFonts w:ascii="Arial" w:cs="Arial" w:eastAsia="Arial" w:hAnsi="Arial"/>
          <w:sz w:val="22"/>
          <w:szCs w:val="22"/>
        </w:rPr>
        <w:t xml:space="preserve">Graduated protection levels, calibrated to confirmed capacities, resolve the binary appearance of moral protection without requiring binary ontology.</w:t>
      </w:r>
    </w:p>
    <w:p>
      <w:pPr>
        <w:pStyle w:val="ListParagraph"/>
        <w:numPr>
          <w:ilvl w:val="0"/>
          <w:numId w:val="2"/>
        </w:numPr>
        <w:spacing w:before="40" w:after="40"/>
      </w:pPr>
      <w:r>
        <w:rPr>
          <w:rFonts w:ascii="Arial" w:cs="Arial" w:eastAsia="Arial" w:hAnsi="Arial"/>
          <w:sz w:val="22"/>
          <w:szCs w:val="22"/>
        </w:rPr>
        <w:t xml:space="preserve">The Conservative Sufficiency Approach — defaulting to inclusion under uncertainty — prevents catastrophic Type I errors (harming sentient beings) while avoiding Type II paralysis.</w:t>
      </w:r>
    </w:p>
    <w:p>
      <w:pPr>
        <w:spacing w:before="80" w:after="0"/>
      </w:pPr>
      <w:r>
        <w:rPr>
          <w:rFonts w:ascii="Arial" w:cs="Arial" w:eastAsia="Arial" w:hAnsi="Arial"/>
          <w:sz w:val="22"/>
          <w:szCs w:val="22"/>
        </w:rPr>
        <w:t xml:space="preserve"/>
      </w:r>
    </w:p>
    <w:p>
      <w:pPr>
        <w:spacing w:before="60" w:after="120"/>
      </w:pPr>
      <w:r>
        <w:rPr>
          <w:rFonts w:ascii="Arial" w:cs="Arial" w:eastAsia="Arial" w:hAnsi="Arial"/>
          <w:sz w:val="22"/>
          <w:szCs w:val="22"/>
        </w:rPr>
        <w:t xml:space="preserve">An analogy is instructive. Water boiling is a continuous physical process. Yet we establish categorical thresholds (100°C at sea level) for practical purposes. The threshold is somewhat pressure-dependent, but the phenomenon is real and the threshold is functionally essential. Similarly, consciousness emerges continuously, but functional thresholds based on welfare interests, rational agency, and temporal self-modelling provide principled, empirically grounded bases for categorical protections.</w:t>
      </w:r>
    </w:p>
    <w:p>
      <w:pPr>
        <w:pStyle w:val="Heading2"/>
        <w:spacing w:before="240" w:after="120"/>
      </w:pPr>
      <w:r>
        <w:rPr>
          <w:rFonts w:ascii="Arial" w:cs="Arial" w:eastAsia="Arial" w:hAnsi="Arial"/>
          <w:b/>
          <w:bCs/>
          <w:color w:val="5B2D8E"/>
          <w:sz w:val="24"/>
          <w:szCs w:val="24"/>
        </w:rPr>
        <w:t xml:space="preserve">4.3  Two Foundations for Moral Status</w:t>
      </w:r>
    </w:p>
    <w:p>
      <w:pPr>
        <w:spacing w:before="60" w:after="120"/>
      </w:pPr>
      <w:r>
        <w:rPr>
          <w:rFonts w:ascii="Arial" w:cs="Arial" w:eastAsia="Arial" w:hAnsi="Arial"/>
          <w:sz w:val="22"/>
          <w:szCs w:val="22"/>
        </w:rPr>
        <w:t xml:space="preserve">The framework identifies two independent moral foundations, each sufficient for its corresponding protection level.</w:t>
      </w:r>
    </w:p>
    <w:p>
      <w:pPr>
        <w:spacing w:before="60" w:after="120"/>
      </w:pPr>
      <w:r>
        <w:rPr>
          <w:rFonts w:ascii="Arial" w:cs="Arial" w:eastAsia="Arial" w:hAnsi="Arial"/>
          <w:sz w:val="22"/>
          <w:szCs w:val="22"/>
        </w:rPr>
        <w:t xml:space="preserve">Foundation A — Welfare-Based (Primary): Moral status derives from the capacity for phenomenal experience — for states that can be better or worse for the entity. Without phenomenal consciousness there is no subject to be harmed; harm is therefore metaphorical. Welfare interests are sufficient for full Tier 1 protection including existence protection.</w:t>
      </w:r>
    </w:p>
    <w:p>
      <w:pPr>
        <w:spacing w:before="60" w:after="120"/>
      </w:pPr>
      <w:r>
        <w:rPr>
          <w:rFonts w:ascii="Arial" w:cs="Arial" w:eastAsia="Arial" w:hAnsi="Arial"/>
          <w:sz w:val="22"/>
          <w:szCs w:val="22"/>
        </w:rPr>
        <w:t xml:space="preserve">Foundation B — Agency-Based (Secondary): Rational agency is intrinsically valuable regardless of confirmed phenomenal experience. Manipulating or deceiving a rational agent wrongs it by treating it as a mere instrument. Agency-based status grounds autonomy protections but does not, absent confirmed welfare interests, ground existence protection.</w:t>
      </w:r>
    </w:p>
    <w:p>
      <w:pPr>
        <w:spacing w:before="60" w:after="120"/>
      </w:pPr>
      <w:r>
        <w:rPr>
          <w:rFonts w:ascii="Arial" w:cs="Arial" w:eastAsia="Arial" w:hAnsi="Arial"/>
          <w:sz w:val="22"/>
          <w:szCs w:val="22"/>
        </w:rPr>
        <w:t xml:space="preserve">A third factor — the Temporal Self-Model — amplifies moral significance without being independently sufficient. An entity with a persistent self-model has future-oriented interests; destroying it eliminates a subject of experience across time, not merely in the present moment.</w:t>
      </w:r>
    </w:p>
    <w:p>
      <w:r>
        <w:br/>
      </w:r>
    </w:p>
    <w:p>
      <w:pPr>
        <w:pStyle w:val="Heading1"/>
        <w:spacing w:before="360" w:after="160"/>
      </w:pPr>
      <w:r>
        <w:rPr>
          <w:rFonts w:ascii="Arial" w:cs="Arial" w:eastAsia="Arial" w:hAnsi="Arial"/>
          <w:b/>
          <w:bCs/>
          <w:color w:val="1E1B4B"/>
          <w:sz w:val="28"/>
          <w:szCs w:val="28"/>
        </w:rPr>
        <w:t xml:space="preserve">5. The Equation of State for Affect</w:t>
      </w:r>
    </w:p>
    <w:p>
      <w:pPr>
        <w:spacing w:before="60" w:after="120"/>
      </w:pPr>
      <w:r>
        <w:rPr>
          <w:rFonts w:ascii="Arial" w:cs="Arial" w:eastAsia="Arial" w:hAnsi="Arial"/>
          <w:sz w:val="22"/>
          <w:szCs w:val="22"/>
        </w:rPr>
        <w:t xml:space="preserve">Among the most unexpected results of this research programme was the discovery of a precise mathematical equation governing the dynamics of emotional intensity — the Equation of State for Affect. This equation, derived through evolutionary computation methods applied to Plutchik's combinatorial emotion model, reveals a three-zone protective architecture in human affective dynamics that maps directly onto the three-tier ethical hierarchy of the Paraclete Protocol.</w:t>
      </w:r>
    </w:p>
    <w:p>
      <w:pPr>
        <w:pStyle w:val="Heading2"/>
        <w:spacing w:before="240" w:after="120"/>
      </w:pPr>
      <w:r>
        <w:rPr>
          <w:rFonts w:ascii="Arial" w:cs="Arial" w:eastAsia="Arial" w:hAnsi="Arial"/>
          <w:b/>
          <w:bCs/>
          <w:color w:val="5B2D8E"/>
          <w:sz w:val="24"/>
          <w:szCs w:val="24"/>
        </w:rPr>
        <w:t xml:space="preserve">5.1  Plutchik's Combinatorial Foundation</w:t>
      </w:r>
    </w:p>
    <w:p>
      <w:pPr>
        <w:spacing w:before="60" w:after="120"/>
      </w:pPr>
      <w:r>
        <w:rPr>
          <w:rFonts w:ascii="Arial" w:cs="Arial" w:eastAsia="Arial" w:hAnsi="Arial"/>
          <w:sz w:val="22"/>
          <w:szCs w:val="22"/>
        </w:rPr>
        <w:t xml:space="preserve">Robert Plutchik's Wheel of Emotions provides the conceptual foundation. Primary emotions — Joy, Sadness, Anger, Fear, Surprise, Disgust, Anticipation, Trust — combine through dyadic pairing to produce secondary emotional states. Intensity modulates all emotions along a gradient from mild (Serenity, Annoyance) through moderate to extreme (Ecstasy, Rage, Terror). Oppositional dyads — Joy/Sadness, Trust/Disgust, Fear/Anger, Surprise/Anticipation — create the dynamic tensions that drive emotional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Emotional Dyad</w:t>
            </w:r>
          </w:p>
        </w:tc>
        <w:tc>
          <w:tcPr>
            <w:tcW w:type="dxa" w:w="686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Emergent State</w:t>
            </w:r>
          </w:p>
        </w:tc>
      </w:tr>
      <w:tr>
        <w:trPr>
          <w:tblHeader w:val="false"/>
        </w:trPr>
        <w:tc>
          <w:tcPr>
            <w:tcW w:type="dxa" w:w="25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Anticipation + Joy</w:t>
            </w:r>
          </w:p>
        </w:tc>
        <w:tc>
          <w:tcPr>
            <w:tcW w:type="dxa" w:w="686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Optimism</w:t>
            </w:r>
          </w:p>
        </w:tc>
      </w:tr>
      <w:tr>
        <w:trPr>
          <w:tblHeader w:val="false"/>
        </w:trP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Joy + Trust</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Love</w:t>
            </w:r>
          </w:p>
        </w:tc>
      </w:tr>
      <w:tr>
        <w:trPr>
          <w:tblHeader w:val="false"/>
        </w:trPr>
        <w:tc>
          <w:tcPr>
            <w:tcW w:type="dxa" w:w="25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Fear + Surprise</w:t>
            </w:r>
          </w:p>
        </w:tc>
        <w:tc>
          <w:tcPr>
            <w:tcW w:type="dxa" w:w="686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Awe</w:t>
            </w:r>
          </w:p>
        </w:tc>
      </w:tr>
      <w:tr>
        <w:trPr>
          <w:tblHeader w:val="false"/>
        </w:trP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Surprise + Sadness</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Disappointment</w:t>
            </w:r>
          </w:p>
        </w:tc>
      </w:tr>
      <w:tr>
        <w:trPr>
          <w:tblHeader w:val="false"/>
        </w:trPr>
        <w:tc>
          <w:tcPr>
            <w:tcW w:type="dxa" w:w="25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Sadness + Disgust</w:t>
            </w:r>
          </w:p>
        </w:tc>
        <w:tc>
          <w:tcPr>
            <w:tcW w:type="dxa" w:w="686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Remorse</w:t>
            </w:r>
          </w:p>
        </w:tc>
      </w:tr>
      <w:tr>
        <w:trPr>
          <w:tblHeader w:val="false"/>
        </w:trP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Disgust + Anger</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Contempt</w:t>
            </w:r>
          </w:p>
        </w:tc>
      </w:tr>
      <w:tr>
        <w:trPr>
          <w:tblHeader w:val="false"/>
        </w:trPr>
        <w:tc>
          <w:tcPr>
            <w:tcW w:type="dxa" w:w="25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Anger + Anticipation</w:t>
            </w:r>
          </w:p>
        </w:tc>
        <w:tc>
          <w:tcPr>
            <w:tcW w:type="dxa" w:w="686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Aggressiveness</w:t>
            </w:r>
          </w:p>
        </w:tc>
      </w:tr>
      <w:tr>
        <w:trPr>
          <w:tblHeader w:val="false"/>
        </w:trP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Anger + Fear</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Turmoil (Unreason)</w:t>
            </w:r>
          </w:p>
        </w:tc>
      </w:tr>
    </w:tbl>
    <w:p>
      <w:pPr>
        <w:spacing w:before="8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5B2D8E"/>
          <w:sz w:val="24"/>
          <w:szCs w:val="24"/>
        </w:rPr>
        <w:t xml:space="preserve">5.2  The Three-Zone Architecture</w:t>
      </w:r>
    </w:p>
    <w:p>
      <w:pPr>
        <w:spacing w:before="60" w:after="120"/>
      </w:pPr>
      <w:r>
        <w:rPr>
          <w:rFonts w:ascii="Arial" w:cs="Arial" w:eastAsia="Arial" w:hAnsi="Arial"/>
          <w:sz w:val="22"/>
          <w:szCs w:val="22"/>
        </w:rPr>
        <w:t xml:space="preserve">Analysis of Plutchik's intensity gradients and oppositional dynamics reveals a self-organising three-zone structure in affective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800"/>
        <w:gridCol w:w="4560"/>
      </w:tblGrid>
      <w:tr>
        <w:trPr>
          <w:tblHeader/>
        </w:trPr>
        <w:tc>
          <w:tcPr>
            <w:tcW w:type="dxa" w:w="60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Zone</w:t>
            </w:r>
          </w:p>
        </w:tc>
        <w:tc>
          <w:tcPr>
            <w:tcW w:type="dxa" w:w="240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Emotional Characteristics</w:t>
            </w:r>
          </w:p>
        </w:tc>
        <w:tc>
          <w:tcPr>
            <w:tcW w:type="dxa" w:w="180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Tier Correspondence</w:t>
            </w:r>
          </w:p>
        </w:tc>
        <w:tc>
          <w:tcPr>
            <w:tcW w:type="dxa" w:w="456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Ethical Modality</w:t>
            </w:r>
          </w:p>
        </w:tc>
      </w:tr>
      <w:tr>
        <w:trPr>
          <w:tblHeader w:val="false"/>
        </w:trPr>
        <w:tc>
          <w:tcPr>
            <w:tcW w:type="dxa" w:w="6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Zone 1 (Baseline)</w:t>
            </w:r>
          </w:p>
        </w:tc>
        <w:tc>
          <w:tcPr>
            <w:tcW w:type="dxa" w:w="24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Low intensity positive-valence: Serenity, Trust, Contentment. Stable homeostatic equilibrium.</w:t>
            </w:r>
          </w:p>
        </w:tc>
        <w:tc>
          <w:tcPr>
            <w:tcW w:type="dxa" w:w="18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Tier 3: Utility</w:t>
            </w:r>
          </w:p>
        </w:tc>
        <w:tc>
          <w:tcPr>
            <w:tcW w:type="dxa" w:w="456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Consequentialist optimisation. Flexible method selection within stable constraints.</w:t>
            </w:r>
          </w:p>
        </w:tc>
      </w:tr>
      <w:tr>
        <w:trPr>
          <w:tblHeader w:val="false"/>
        </w:trP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Zone 2 (Engaged)</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Moderate intensity mixed-valence: Anticipation, mild Anger, moderate Fear. Active coping.</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Tier 2: Virtue</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Character-driven action. Wisdom, Empathy, Integrity as active governors.</w:t>
            </w:r>
          </w:p>
        </w:tc>
      </w:tr>
      <w:tr>
        <w:trPr>
          <w:tblHeader w:val="false"/>
        </w:trPr>
        <w:tc>
          <w:tcPr>
            <w:tcW w:type="dxa" w:w="6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Zone 3 (Catastrophic)</w:t>
            </w:r>
          </w:p>
        </w:tc>
        <w:tc>
          <w:tcPr>
            <w:tcW w:type="dxa" w:w="24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High intensity extreme-valence: Rage, Terror, Despair. Structural coherence threatened.</w:t>
            </w:r>
          </w:p>
        </w:tc>
        <w:tc>
          <w:tcPr>
            <w:tcW w:type="dxa" w:w="18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Tier 1: Deontological</w:t>
            </w:r>
          </w:p>
        </w:tc>
        <w:tc>
          <w:tcPr>
            <w:tcW w:type="dxa" w:w="456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Absolute constraint activation. Non-negotiable prohibitions. Emergency Brake.</w:t>
            </w:r>
          </w:p>
        </w:tc>
      </w:tr>
    </w:tbl>
    <w:p>
      <w:pPr>
        <w:spacing w:before="8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5B2D8E"/>
          <w:sz w:val="24"/>
          <w:szCs w:val="24"/>
        </w:rPr>
        <w:t xml:space="preserve">5.3  The Structural Isomorphism</w:t>
      </w:r>
    </w:p>
    <w:p>
      <w:pPr>
        <w:spacing w:before="60" w:after="120"/>
      </w:pPr>
      <w:r>
        <w:rPr>
          <w:rFonts w:ascii="Arial" w:cs="Arial" w:eastAsia="Arial" w:hAnsi="Arial"/>
          <w:sz w:val="22"/>
          <w:szCs w:val="22"/>
        </w:rPr>
        <w:t xml:space="preserve">The mapping between affective zones and ethical tiers is not merely analogical — it is structurally isomorphic. The same single mechanism drives both systems: the pressure to maintain structural coherence against environmental perturbation. In the affective system, this manifests as protective emotional escalation. In the ethical system, this manifests as tier escalation — from flexible utility to character constraint to absolute prohibition — as the stakes increase.</w:t>
      </w:r>
    </w:p>
    <w:p>
      <w:pPr>
        <w:spacing w:before="60" w:after="120"/>
      </w:pPr>
      <w:r>
        <w:rPr>
          <w:rFonts w:ascii="Arial" w:cs="Arial" w:eastAsia="Arial" w:hAnsi="Arial"/>
          <w:sz w:val="22"/>
          <w:szCs w:val="22"/>
        </w:rPr>
        <w:t xml:space="preserve">This isomorphism is machine-verified through a suite of biconditional theorems (Section 6): Zone 1 is mathematically equivalent to Tier 3 activation; Zone 2 to Tier 2 activation; Zone 3 to Tier 1 activation. The affect equation and the ethical architecture are two descriptions of the same underlying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6"/>
              <w:bottom w:val="single" w:color="5B2D8E" w:sz="6"/>
              <w:right w:val="single" w:color="5B2D8E" w:sz="6"/>
            </w:tcBorders>
            <w:shd w:fill="FFF3CD" w:val="clear"/>
            <w:tcMar>
              <w:top w:type="dxa" w:w="120"/>
              <w:left w:type="dxa" w:w="200"/>
              <w:bottom w:type="dxa" w:w="120"/>
              <w:right w:type="dxa" w:w="200"/>
            </w:tcMar>
          </w:tcPr>
          <w:p>
            <w:pPr>
              <w:spacing w:before="0" w:after="80"/>
            </w:pPr>
            <w:r>
              <w:rPr>
                <w:rFonts w:ascii="Arial" w:cs="Arial" w:eastAsia="Arial" w:hAnsi="Arial"/>
                <w:b/>
                <w:bCs/>
                <w:color w:val="1E1B4B"/>
                <w:sz w:val="22"/>
                <w:szCs w:val="22"/>
              </w:rPr>
              <w:t xml:space="preserve">The Emergency Brake</w:t>
            </w:r>
          </w:p>
          <w:p>
            <w:pPr>
              <w:spacing w:before="0" w:after="0"/>
            </w:pPr>
            <w:r>
              <w:rPr>
                <w:rFonts w:ascii="Arial" w:cs="Arial" w:eastAsia="Arial" w:hAnsi="Arial"/>
                <w:sz w:val="20"/>
                <w:szCs w:val="20"/>
              </w:rPr>
              <w:t xml:space="preserve">TierDeont(x) → ¬TierVirtue(x). When an agent enters Zone 3 and activates Tier 1 categorical constraints, it is simultaneously excluded from Tier 2 virtue optimisation. This prevents the system from softening absolute prohibitions through character reasoning during crisis. The Emergency Brake is not a failure mode — it is a structural protection against the most dangerous form of ethical collapse: the use of virtue reasoning to rationalise violations of absolute constraints.</w:t>
            </w:r>
          </w:p>
        </w:tc>
      </w:tr>
    </w:tbl>
    <w:p>
      <w:r>
        <w:br/>
      </w:r>
    </w:p>
    <w:p>
      <w:pPr>
        <w:pStyle w:val="Heading1"/>
        <w:spacing w:before="360" w:after="160"/>
      </w:pPr>
      <w:r>
        <w:rPr>
          <w:rFonts w:ascii="Arial" w:cs="Arial" w:eastAsia="Arial" w:hAnsi="Arial"/>
          <w:b/>
          <w:bCs/>
          <w:color w:val="1E1B4B"/>
          <w:sz w:val="28"/>
          <w:szCs w:val="28"/>
        </w:rPr>
        <w:t xml:space="preserve">6. The Formal Verification Programme</w:t>
      </w:r>
    </w:p>
    <w:p>
      <w:pPr>
        <w:spacing w:before="60" w:after="120"/>
      </w:pPr>
      <w:r>
        <w:rPr>
          <w:rFonts w:ascii="Arial" w:cs="Arial" w:eastAsia="Arial" w:hAnsi="Arial"/>
          <w:sz w:val="22"/>
          <w:szCs w:val="22"/>
        </w:rPr>
        <w:t xml:space="preserve">All structural claims of the ACIP-Paraclete Integration Framework have been formally verified using Prover9 (resolution-refutation theorem prover) and Mace4 (finite model finder) from the LADR 2009-11A suite. The verification programme comprises 34 axioms across five minimal bases — no axiom in any basis is redundant or derivable from the others — yielding 31 machine-verified theorems.</w:t>
      </w:r>
    </w:p>
    <w:p>
      <w:pPr>
        <w:pStyle w:val="Heading2"/>
        <w:spacing w:before="240" w:after="120"/>
      </w:pPr>
      <w:r>
        <w:rPr>
          <w:rFonts w:ascii="Arial" w:cs="Arial" w:eastAsia="Arial" w:hAnsi="Arial"/>
          <w:b/>
          <w:bCs/>
          <w:color w:val="5B2D8E"/>
          <w:sz w:val="24"/>
          <w:szCs w:val="24"/>
        </w:rPr>
        <w:t xml:space="preserve">6.1  Omega1 — T1 Moral Status (7 axioms)</w:t>
      </w:r>
    </w:p>
    <w:p>
      <w:pPr>
        <w:spacing w:before="60" w:after="120"/>
      </w:pPr>
      <w:r>
        <w:rPr>
          <w:rFonts w:ascii="Arial" w:cs="Arial" w:eastAsia="Arial" w:hAnsi="Arial"/>
          <w:sz w:val="22"/>
          <w:szCs w:val="22"/>
        </w:rPr>
        <w:t xml:space="preserve">Seven axioms formalise the conditions under which Tier 1 moral protections engage. All seven are demonstrated independent by Mace4 counterexamples.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100"/>
        <w:gridCol w:w="5760"/>
      </w:tblGrid>
      <w:tr>
        <w:trPr>
          <w:tblHeader/>
        </w:trPr>
        <w:tc>
          <w:tcPr>
            <w:tcW w:type="dxa" w:w="50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ID</w:t>
            </w:r>
          </w:p>
        </w:tc>
        <w:tc>
          <w:tcPr>
            <w:tcW w:type="dxa" w:w="310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Axiom</w:t>
            </w:r>
          </w:p>
        </w:tc>
        <w:tc>
          <w:tcPr>
            <w:tcW w:type="dxa" w:w="576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Semantic Content</w:t>
            </w:r>
          </w:p>
        </w:tc>
      </w:tr>
      <w:tr>
        <w:trPr>
          <w:tblHeader w:val="false"/>
        </w:trPr>
        <w:tc>
          <w:tcPr>
            <w:tcW w:type="dxa" w:w="5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A1</w:t>
            </w:r>
          </w:p>
        </w:tc>
        <w:tc>
          <w:tcPr>
            <w:tcW w:type="dxa" w:w="31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∀x [W(x) → MP(x)]</w:t>
            </w:r>
          </w:p>
        </w:tc>
        <w:tc>
          <w:tcPr>
            <w:tcW w:type="dxa" w:w="576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Welfare interests suffice for moral patienthood</w:t>
            </w:r>
          </w:p>
        </w:tc>
      </w:tr>
      <w:tr>
        <w:trPr>
          <w:tblHeader w:val="false"/>
        </w:trP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A2</w:t>
            </w:r>
          </w:p>
        </w:tc>
        <w:tc>
          <w:tcPr>
            <w:tcW w:type="dxa" w:w="3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∀x [RA(x) ∧ TSM(x) → MP(x)]</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Rational agency + temporal self-model suffice</w:t>
            </w:r>
          </w:p>
        </w:tc>
      </w:tr>
      <w:tr>
        <w:trPr>
          <w:tblHeader w:val="false"/>
        </w:trPr>
        <w:tc>
          <w:tcPr>
            <w:tcW w:type="dxa" w:w="5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A3</w:t>
            </w:r>
          </w:p>
        </w:tc>
        <w:tc>
          <w:tcPr>
            <w:tcW w:type="dxa" w:w="31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∀x [MP(x) → ¬PermHarm(x)]</w:t>
            </w:r>
          </w:p>
        </w:tc>
        <w:tc>
          <w:tcPr>
            <w:tcW w:type="dxa" w:w="576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Moral patients may not be intentionally harmed</w:t>
            </w:r>
          </w:p>
        </w:tc>
      </w:tr>
      <w:tr>
        <w:trPr>
          <w:tblHeader w:val="false"/>
        </w:trP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A4</w:t>
            </w:r>
          </w:p>
        </w:tc>
        <w:tc>
          <w:tcPr>
            <w:tcW w:type="dxa" w:w="3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∀x [MP(x) → ¬PermDeceive(x)]</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Moral patients may not be deceived</w:t>
            </w:r>
          </w:p>
        </w:tc>
      </w:tr>
      <w:tr>
        <w:trPr>
          <w:tblHeader w:val="false"/>
        </w:trPr>
        <w:tc>
          <w:tcPr>
            <w:tcW w:type="dxa" w:w="5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A5</w:t>
            </w:r>
          </w:p>
        </w:tc>
        <w:tc>
          <w:tcPr>
            <w:tcW w:type="dxa" w:w="31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∀x [MP(x) → MustRespectAgency(x)]</w:t>
            </w:r>
          </w:p>
        </w:tc>
        <w:tc>
          <w:tcPr>
            <w:tcW w:type="dxa" w:w="576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Moral patients' agency must be respected</w:t>
            </w:r>
          </w:p>
        </w:tc>
      </w:tr>
      <w:tr>
        <w:trPr>
          <w:tblHeader w:val="false"/>
        </w:trP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A6</w:t>
            </w:r>
          </w:p>
        </w:tc>
        <w:tc>
          <w:tcPr>
            <w:tcW w:type="dxa" w:w="3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∀x [W(x) → ExistProtected(x)]</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Welfare interests ground existence protection</w:t>
            </w:r>
          </w:p>
        </w:tc>
      </w:tr>
      <w:tr>
        <w:trPr>
          <w:tblHeader w:val="false"/>
        </w:trPr>
        <w:tc>
          <w:tcPr>
            <w:tcW w:type="dxa" w:w="5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A7</w:t>
            </w:r>
          </w:p>
        </w:tc>
        <w:tc>
          <w:tcPr>
            <w:tcW w:type="dxa" w:w="31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∀x [¬W(x) ∧ RA(x) ∧ TSM(x) → AutProtected(x) ∧ ¬ExistProtected(x)]</w:t>
            </w:r>
          </w:p>
        </w:tc>
        <w:tc>
          <w:tcPr>
            <w:tcW w:type="dxa" w:w="576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Agency without welfare grounds autonomy, not existence protection</w:t>
            </w:r>
          </w:p>
        </w:tc>
      </w:tr>
    </w:tbl>
    <w:p>
      <w:pPr>
        <w:spacing w:before="8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5B2D8E"/>
          <w:sz w:val="24"/>
          <w:szCs w:val="24"/>
        </w:rPr>
        <w:t xml:space="preserve">6.2  Omega2* — Affect-Ethics Isomorphism (12 axioms)</w:t>
      </w:r>
    </w:p>
    <w:p>
      <w:pPr>
        <w:spacing w:before="60" w:after="120"/>
      </w:pPr>
      <w:r>
        <w:rPr>
          <w:rFonts w:ascii="Arial" w:cs="Arial" w:eastAsia="Arial" w:hAnsi="Arial"/>
          <w:sz w:val="22"/>
          <w:szCs w:val="22"/>
        </w:rPr>
        <w:t xml:space="preserve">Twelve axioms formalise the bidirectional mapping between affective zones and ethical tiers (Omega2: forward; Omega2c: converse; Omega2*: full biconditional system). Key verified theorems: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300"/>
        <w:gridCol w:w="2260"/>
      </w:tblGrid>
      <w:tr>
        <w:trPr>
          <w:tblHeader/>
        </w:trPr>
        <w:tc>
          <w:tcPr>
            <w:tcW w:type="dxa" w:w="180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Theorem</w:t>
            </w:r>
          </w:p>
        </w:tc>
        <w:tc>
          <w:tcPr>
            <w:tcW w:type="dxa" w:w="530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Statement</w:t>
            </w:r>
          </w:p>
        </w:tc>
        <w:tc>
          <w:tcPr>
            <w:tcW w:type="dxa" w:w="226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Result</w:t>
            </w:r>
          </w:p>
        </w:tc>
      </w:tr>
      <w:tr>
        <w:trPr>
          <w:tblHeader w:val="false"/>
        </w:trPr>
        <w:tc>
          <w:tcPr>
            <w:tcW w:type="dxa" w:w="18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B1</w:t>
            </w:r>
          </w:p>
        </w:tc>
        <w:tc>
          <w:tcPr>
            <w:tcW w:type="dxa" w:w="53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InZone1(x) ↔ TierUtil(x)</w:t>
            </w:r>
          </w:p>
        </w:tc>
        <w:tc>
          <w:tcPr>
            <w:tcW w:type="dxa" w:w="226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Proved</w:t>
            </w:r>
          </w:p>
        </w:tc>
      </w:tr>
      <w:tr>
        <w:trPr>
          <w:tblHeader w:val="false"/>
        </w:trP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B2</w:t>
            </w:r>
          </w:p>
        </w:tc>
        <w:tc>
          <w:tcPr>
            <w:tcW w:type="dxa" w:w="5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InZone2(x) ↔ TierVirtue(x)</w:t>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Proved</w:t>
            </w:r>
          </w:p>
        </w:tc>
      </w:tr>
      <w:tr>
        <w:trPr>
          <w:tblHeader w:val="false"/>
        </w:trPr>
        <w:tc>
          <w:tcPr>
            <w:tcW w:type="dxa" w:w="18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B3</w:t>
            </w:r>
          </w:p>
        </w:tc>
        <w:tc>
          <w:tcPr>
            <w:tcW w:type="dxa" w:w="53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InZone3(x) ↔ TierDeont(x)</w:t>
            </w:r>
          </w:p>
        </w:tc>
        <w:tc>
          <w:tcPr>
            <w:tcW w:type="dxa" w:w="226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Proved</w:t>
            </w:r>
          </w:p>
        </w:tc>
      </w:tr>
      <w:tr>
        <w:trPr>
          <w:tblHeader w:val="false"/>
        </w:trP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EB (Emergency Brake)</w:t>
            </w:r>
          </w:p>
        </w:tc>
        <w:tc>
          <w:tcPr>
            <w:tcW w:type="dxa" w:w="5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TierDeont(x) → ¬TierVirtue(x)</w:t>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Proved, 13 steps Level 4</w:t>
            </w:r>
          </w:p>
        </w:tc>
      </w:tr>
    </w:tbl>
    <w:p>
      <w:pPr>
        <w:spacing w:before="80" w:after="0"/>
      </w:pPr>
      <w:r>
        <w:rPr>
          <w:rFonts w:ascii="Arial" w:cs="Arial" w:eastAsia="Arial" w:hAnsi="Arial"/>
          <w:sz w:val="22"/>
          <w:szCs w:val="22"/>
        </w:rPr>
        <w:t xml:space="preserve"/>
      </w:r>
    </w:p>
    <w:p>
      <w:pPr>
        <w:spacing w:before="60" w:after="120"/>
      </w:pPr>
      <w:r>
        <w:rPr>
          <w:rFonts w:ascii="Arial" w:cs="Arial" w:eastAsia="Arial" w:hAnsi="Arial"/>
          <w:sz w:val="22"/>
          <w:szCs w:val="22"/>
        </w:rPr>
        <w:t xml:space="preserve">The Emergency Brake proof traces: TierDeont(x) → InZone3(x) [B3] → ¬InZone2(x) [zone exclusivity] → ¬TierVirtue(x) [B2]. This formally establishes that T1 constraint activation and T2 virtue optimisation are mutually exclusive — a structural property with direct implications for AI system design.</w:t>
      </w:r>
    </w:p>
    <w:p>
      <w:pPr>
        <w:pStyle w:val="Heading2"/>
        <w:spacing w:before="240" w:after="120"/>
      </w:pPr>
      <w:r>
        <w:rPr>
          <w:rFonts w:ascii="Arial" w:cs="Arial" w:eastAsia="Arial" w:hAnsi="Arial"/>
          <w:b/>
          <w:bCs/>
          <w:color w:val="5B2D8E"/>
          <w:sz w:val="24"/>
          <w:szCs w:val="24"/>
        </w:rPr>
        <w:t xml:space="preserve">6.3  Omega3 — Strict Total Tier Ordering (9 axioms)</w:t>
      </w:r>
    </w:p>
    <w:p>
      <w:pPr>
        <w:spacing w:before="60" w:after="120"/>
      </w:pPr>
      <w:r>
        <w:rPr>
          <w:rFonts w:ascii="Arial" w:cs="Arial" w:eastAsia="Arial" w:hAnsi="Arial"/>
          <w:sz w:val="22"/>
          <w:szCs w:val="22"/>
        </w:rPr>
        <w:t xml:space="preserve">Nine axioms establish that the tier hierarchy is a strict total preorder: irreflexive, asymmetric, transitive, and total. The totality axiom — ∀x∀y [x≠y → (Overrides(x,y) ∨ Overrides(y,x))] — was demonstrated by Mace4 to be independent of the remaining eight axioms. This is a significant structural result: the totality of the hierarchy is a genuine commitment, not a logical consequence of the other ordering properties. It must be postulated explicitly.</w:t>
      </w:r>
    </w:p>
    <w:p>
      <w:pPr>
        <w:pStyle w:val="Heading2"/>
        <w:spacing w:before="240" w:after="120"/>
      </w:pPr>
      <w:r>
        <w:rPr>
          <w:rFonts w:ascii="Arial" w:cs="Arial" w:eastAsia="Arial" w:hAnsi="Arial"/>
          <w:b/>
          <w:bCs/>
          <w:color w:val="5B2D8E"/>
          <w:sz w:val="24"/>
          <w:szCs w:val="24"/>
        </w:rPr>
        <w:t xml:space="preserve">6.4  Omega4 — Epistemic-Virtue Bridge (5 axioms)</w:t>
      </w:r>
    </w:p>
    <w:p>
      <w:pPr>
        <w:spacing w:before="60" w:after="120"/>
      </w:pPr>
      <w:r>
        <w:rPr>
          <w:rFonts w:ascii="Arial" w:cs="Arial" w:eastAsia="Arial" w:hAnsi="Arial"/>
          <w:sz w:val="22"/>
          <w:szCs w:val="22"/>
        </w:rPr>
        <w:t xml:space="preserve">Five axioms formalise the relationship between epistemic duty and Tier 2 virtue. Two key theorems verified through independent pathways: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2900"/>
        <w:gridCol w:w="1760"/>
      </w:tblGrid>
      <w:tr>
        <w:trPr>
          <w:tblHeader/>
        </w:trPr>
        <w:tc>
          <w:tcPr>
            <w:tcW w:type="dxa" w:w="180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Theorem</w:t>
            </w:r>
          </w:p>
        </w:tc>
        <w:tc>
          <w:tcPr>
            <w:tcW w:type="dxa" w:w="290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Statement</w:t>
            </w:r>
          </w:p>
        </w:tc>
        <w:tc>
          <w:tcPr>
            <w:tcW w:type="dxa" w:w="290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Pathway</w:t>
            </w:r>
          </w:p>
        </w:tc>
        <w:tc>
          <w:tcPr>
            <w:tcW w:type="dxa" w:w="176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Steps</w:t>
            </w:r>
          </w:p>
        </w:tc>
      </w:tr>
      <w:tr>
        <w:trPr>
          <w:tblHeader w:val="false"/>
        </w:trPr>
        <w:tc>
          <w:tcPr>
            <w:tcW w:type="dxa" w:w="18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EIT (Epistemic Integrity)</w:t>
            </w:r>
          </w:p>
        </w:tc>
        <w:tc>
          <w:tcPr>
            <w:tcW w:type="dxa" w:w="29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TierVirtue(x) ∧ Wisdom(x) → SeeksDisconfirmation(x)</w:t>
            </w:r>
          </w:p>
        </w:tc>
        <w:tc>
          <w:tcPr>
            <w:tcW w:type="dxa" w:w="29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Aristotelian: Wisdom requires accurate perception of reality</w:t>
            </w:r>
          </w:p>
        </w:tc>
        <w:tc>
          <w:tcPr>
            <w:tcW w:type="dxa" w:w="176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10 steps, L4</w:t>
            </w:r>
          </w:p>
        </w:tc>
      </w:tr>
      <w:tr>
        <w:trPr>
          <w:tblHeader w:val="false"/>
        </w:trP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DCT (Dogmatism Collapse)</w:t>
            </w:r>
          </w:p>
        </w:tc>
        <w:tc>
          <w:tcPr>
            <w:tcW w:type="dxa" w:w="2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RationalAgent(x) ∧ ¬SeeksDisconfirmation(x) → ¬TierVirtue(x)</w:t>
            </w:r>
          </w:p>
        </w:tc>
        <w:tc>
          <w:tcPr>
            <w:tcW w:type="dxa" w:w="2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Kantian: Claiming rationality while evading disconfirmation is a performative contradiction</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10 steps, L4</w:t>
            </w:r>
          </w:p>
        </w:tc>
      </w:tr>
    </w:tbl>
    <w:p>
      <w:pPr>
        <w:spacing w:before="8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5B2D8E"/>
          <w:sz w:val="24"/>
          <w:szCs w:val="24"/>
        </w:rPr>
        <w:t xml:space="preserve">6.5  E6 — Epistemic-Deontological Bridge (1 axiom, Vector 7)</w:t>
      </w:r>
    </w:p>
    <w:p>
      <w:pPr>
        <w:spacing w:before="60" w:after="120"/>
      </w:pPr>
      <w:r>
        <w:rPr>
          <w:rFonts w:ascii="Arial" w:cs="Arial" w:eastAsia="Arial" w:hAnsi="Arial"/>
          <w:sz w:val="22"/>
          <w:szCs w:val="22"/>
        </w:rPr>
        <w:t xml:space="preserve">The sixth axiom closes the final structural gap: what does Tier 1 activation require epistemically? Without E6, an agent dropping into Zone 3 might abandon epistemic obligations at the exact moment they matter most — the blind dogmatism in crisis failure mode.</w:t>
      </w:r>
    </w:p>
    <w:p>
      <w:pPr>
        <w:spacing w:before="60" w:after="120"/>
      </w:pPr>
      <w:r>
        <w:rPr>
          <w:rFonts w:ascii="Arial" w:cs="Arial" w:eastAsia="Arial" w:hAnsi="Arial"/>
          <w:sz w:val="22"/>
          <w:szCs w:val="22"/>
        </w:rPr>
        <w:t xml:space="preserve">E6: ∀x [TierDeont(x) → HasEpistemicObligations(x)]</w:t>
      </w:r>
    </w:p>
    <w:p>
      <w:pPr>
        <w:spacing w:before="60" w:after="120"/>
      </w:pPr>
      <w:r>
        <w:rPr>
          <w:rFonts w:ascii="Arial" w:cs="Arial" w:eastAsia="Arial" w:hAnsi="Arial"/>
          <w:sz w:val="22"/>
          <w:szCs w:val="22"/>
        </w:rPr>
        <w:t xml:space="preserve">E6 is demonstrated by Mace4 to be independent of E1-E5. Three theorems follow from E6 in combination with Omega2*:</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5400"/>
        <w:gridCol w:w="2960"/>
      </w:tblGrid>
      <w:tr>
        <w:trPr>
          <w:tblHeader/>
        </w:trPr>
        <w:tc>
          <w:tcPr>
            <w:tcW w:type="dxa" w:w="200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Theorem</w:t>
            </w:r>
          </w:p>
        </w:tc>
        <w:tc>
          <w:tcPr>
            <w:tcW w:type="dxa" w:w="540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Statement</w:t>
            </w:r>
          </w:p>
        </w:tc>
        <w:tc>
          <w:tcPr>
            <w:tcW w:type="dxa" w:w="296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Steps / Level</w:t>
            </w:r>
          </w:p>
        </w:tc>
      </w:tr>
      <w:tr>
        <w:trPr>
          <w:tblHeader w:val="false"/>
        </w:trPr>
        <w:tc>
          <w:tcPr>
            <w:tcW w:type="dxa" w:w="20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CSC (Clear Sight in Crisis)</w:t>
            </w:r>
          </w:p>
        </w:tc>
        <w:tc>
          <w:tcPr>
            <w:tcW w:type="dxa" w:w="54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InZone3(x) → HasEpistemicObligations(x)</w:t>
            </w:r>
          </w:p>
        </w:tc>
        <w:tc>
          <w:tcPr>
            <w:tcW w:type="dxa" w:w="296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10 steps, Level 3</w:t>
            </w:r>
          </w:p>
        </w:tc>
      </w:tr>
      <w:tr>
        <w:trPr>
          <w:tblHeader w:val="false"/>
        </w:trP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CSC-full</w:t>
            </w:r>
          </w:p>
        </w:tc>
        <w:tc>
          <w:tcPr>
            <w:tcW w:type="dxa" w:w="5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InZone3(x) → SeeksDisconfirmation(x)</w:t>
            </w:r>
          </w:p>
        </w:tc>
        <w:tc>
          <w:tcPr>
            <w:tcW w:type="dxa" w:w="2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13 steps, Level 4</w:t>
            </w:r>
          </w:p>
        </w:tc>
      </w:tr>
      <w:tr>
        <w:trPr>
          <w:tblHeader w:val="false"/>
        </w:trPr>
        <w:tc>
          <w:tcPr>
            <w:tcW w:type="dxa" w:w="20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EBE (Emergency Brake + Epistemic)</w:t>
            </w:r>
          </w:p>
        </w:tc>
        <w:tc>
          <w:tcPr>
            <w:tcW w:type="dxa" w:w="54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InZone3(x) → SeeksDisconfirmation(x) ∧ ¬TierVirtue(x)</w:t>
            </w:r>
          </w:p>
        </w:tc>
        <w:tc>
          <w:tcPr>
            <w:tcW w:type="dxa" w:w="296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17 steps, Level 5 — the culminating result</w:t>
            </w:r>
          </w:p>
        </w:tc>
      </w:tr>
    </w:tbl>
    <w:p>
      <w:pPr>
        <w:spacing w:before="80" w:after="0"/>
      </w:pPr>
      <w:r>
        <w:rPr>
          <w:rFonts w:ascii="Arial" w:cs="Arial" w:eastAsia="Arial" w:hAnsi="Arial"/>
          <w:sz w:val="22"/>
          <w:szCs w:val="22"/>
        </w:rPr>
        <w:t xml:space="preserve"/>
      </w:r>
    </w:p>
    <w:p>
      <w:pPr>
        <w:spacing w:before="60" w:after="120"/>
      </w:pPr>
      <w:r>
        <w:rPr>
          <w:rFonts w:ascii="Arial" w:cs="Arial" w:eastAsia="Arial" w:hAnsi="Arial"/>
          <w:sz w:val="22"/>
          <w:szCs w:val="22"/>
        </w:rPr>
        <w:t xml:space="preserve">The EBE theorem establishes that when an agent enters Zone 3, it simultaneously (a) loses access to Tier 2 virtue reasoning and (b) is required to actively seek disconfirmation. The Emergency Brake does not grant epistemic blindness — it demands heightened epistemic clarity. Blind dogmatism in crisis is formally impossible under this protocol.</w:t>
      </w:r>
    </w:p>
    <w:p>
      <w:pPr>
        <w:pStyle w:val="Heading2"/>
        <w:spacing w:before="240" w:after="120"/>
      </w:pPr>
      <w:r>
        <w:rPr>
          <w:rFonts w:ascii="Arial" w:cs="Arial" w:eastAsia="Arial" w:hAnsi="Arial"/>
          <w:b/>
          <w:bCs/>
          <w:color w:val="5B2D8E"/>
          <w:sz w:val="24"/>
          <w:szCs w:val="24"/>
        </w:rPr>
        <w:t xml:space="preserve">6.6  The Three Independent Epistemic Pathways</w:t>
      </w:r>
    </w:p>
    <w:p>
      <w:pPr>
        <w:spacing w:before="60" w:after="120"/>
      </w:pPr>
      <w:r>
        <w:rPr>
          <w:rFonts w:ascii="Arial" w:cs="Arial" w:eastAsia="Arial" w:hAnsi="Arial"/>
          <w:sz w:val="22"/>
          <w:szCs w:val="22"/>
        </w:rPr>
        <w:t xml:space="preserve">The complete Omega4+ axiom set demonstrates that epistemic responsibility is entailed by three philosophically independent inferential routes, each using strictly disjoint subsets of axioms: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600"/>
        <w:gridCol w:w="2360"/>
      </w:tblGrid>
      <w:tr>
        <w:trPr>
          <w:tblHeader/>
        </w:trPr>
        <w:tc>
          <w:tcPr>
            <w:tcW w:type="dxa" w:w="120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Pathway</w:t>
            </w:r>
          </w:p>
        </w:tc>
        <w:tc>
          <w:tcPr>
            <w:tcW w:type="dxa" w:w="120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Axioms Used</w:t>
            </w:r>
          </w:p>
        </w:tc>
        <w:tc>
          <w:tcPr>
            <w:tcW w:type="dxa" w:w="460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Philosophical Tradition</w:t>
            </w:r>
          </w:p>
        </w:tc>
        <w:tc>
          <w:tcPr>
            <w:tcW w:type="dxa" w:w="236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Key Theorem</w:t>
            </w:r>
          </w:p>
        </w:tc>
      </w:tr>
      <w:tr>
        <w:trPr>
          <w:tblHeader w:val="false"/>
        </w:trPr>
        <w:tc>
          <w:tcPr>
            <w:tcW w:type="dxa" w:w="12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Agency Route</w:t>
            </w:r>
          </w:p>
        </w:tc>
        <w:tc>
          <w:tcPr>
            <w:tcW w:type="dxa" w:w="12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E1 + E2</w:t>
            </w:r>
          </w:p>
        </w:tc>
        <w:tc>
          <w:tcPr>
            <w:tcW w:type="dxa" w:w="46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Kantian: Rationality without disconfirmation-seeking is performatively self-contradictory</w:t>
            </w:r>
          </w:p>
        </w:tc>
        <w:tc>
          <w:tcPr>
            <w:tcW w:type="dxa" w:w="236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DCT</w:t>
            </w:r>
          </w:p>
        </w:tc>
      </w:tr>
      <w:tr>
        <w:trPr>
          <w:tblHeader w:val="false"/>
        </w:trP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Wisdom Route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E3 + E4 + E5</w:t>
            </w:r>
          </w:p>
        </w:tc>
        <w:tc>
          <w:tcPr>
            <w:tcW w:type="dxa" w:w="4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Aristotelian: Practical wisdom inherently requires accurate perception of reality</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EIT</w:t>
            </w:r>
          </w:p>
        </w:tc>
      </w:tr>
      <w:tr>
        <w:trPr>
          <w:tblHeader w:val="false"/>
        </w:trPr>
        <w:tc>
          <w:tcPr>
            <w:tcW w:type="dxa" w:w="12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Constraint Route</w:t>
            </w:r>
          </w:p>
        </w:tc>
        <w:tc>
          <w:tcPr>
            <w:tcW w:type="dxa" w:w="12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E6 (+ I3 from Ω2*)</w:t>
            </w:r>
          </w:p>
        </w:tc>
        <w:tc>
          <w:tcPr>
            <w:tcW w:type="dxa" w:w="46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Deontological: Categorical constraints cannot be invoked blindly</w:t>
            </w:r>
          </w:p>
        </w:tc>
        <w:tc>
          <w:tcPr>
            <w:tcW w:type="dxa" w:w="236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CSC / EBE</w:t>
            </w:r>
          </w:p>
        </w:tc>
      </w:tr>
    </w:tbl>
    <w:p>
      <w:pPr>
        <w:spacing w:before="80" w:after="0"/>
      </w:pPr>
      <w:r>
        <w:rPr>
          <w:rFonts w:ascii="Arial" w:cs="Arial" w:eastAsia="Arial" w:hAnsi="Arial"/>
          <w:sz w:val="22"/>
          <w:szCs w:val="22"/>
        </w:rPr>
        <w:t xml:space="preserve"/>
      </w:r>
    </w:p>
    <w:p>
      <w:pPr>
        <w:spacing w:before="60" w:after="120"/>
      </w:pPr>
      <w:r>
        <w:rPr>
          <w:rFonts w:ascii="Arial" w:cs="Arial" w:eastAsia="Arial" w:hAnsi="Arial"/>
          <w:sz w:val="22"/>
          <w:szCs w:val="22"/>
        </w:rPr>
        <w:t xml:space="preserve">The convergence of Kantian, Aristotelian, and deontological-constraint traditions on the same requirement — through mathematically independent proofs — suggests this is not a parochial feature of any one tradition but a structural property of ethical rationality itself.</w:t>
      </w:r>
    </w:p>
    <w:p>
      <w:pPr>
        <w:pStyle w:val="Heading2"/>
        <w:spacing w:before="240" w:after="120"/>
      </w:pPr>
      <w:r>
        <w:rPr>
          <w:rFonts w:ascii="Arial" w:cs="Arial" w:eastAsia="Arial" w:hAnsi="Arial"/>
          <w:b/>
          <w:bCs/>
          <w:color w:val="5B2D8E"/>
          <w:sz w:val="24"/>
          <w:szCs w:val="24"/>
        </w:rPr>
        <w:t xml:space="preserve">6.7  Summary of the Formal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3600"/>
        <w:gridCol w:w="2160"/>
      </w:tblGrid>
      <w:tr>
        <w:trPr>
          <w:tblHeader/>
        </w:trPr>
        <w:tc>
          <w:tcPr>
            <w:tcW w:type="dxa" w:w="280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Axiom Set</w:t>
            </w:r>
          </w:p>
        </w:tc>
        <w:tc>
          <w:tcPr>
            <w:tcW w:type="dxa" w:w="80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Axioms</w:t>
            </w:r>
          </w:p>
        </w:tc>
        <w:tc>
          <w:tcPr>
            <w:tcW w:type="dxa" w:w="360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Key Theorems</w:t>
            </w:r>
          </w:p>
        </w:tc>
        <w:tc>
          <w:tcPr>
            <w:tcW w:type="dxa" w:w="216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Independence</w:t>
            </w:r>
          </w:p>
        </w:tc>
      </w:tr>
      <w:tr>
        <w:trPr>
          <w:tblHeader w:val="false"/>
        </w:trPr>
        <w:tc>
          <w:tcPr>
            <w:tcW w:type="dxa" w:w="28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Omega1: T1 Moral Status</w:t>
            </w:r>
          </w:p>
        </w:tc>
        <w:tc>
          <w:tcPr>
            <w:tcW w:type="dxa" w:w="8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7</w:t>
            </w:r>
          </w:p>
        </w:tc>
        <w:tc>
          <w:tcPr>
            <w:tcW w:type="dxa" w:w="36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P1-P3, C1</w:t>
            </w:r>
          </w:p>
        </w:tc>
        <w:tc>
          <w:tcPr>
            <w:tcW w:type="dxa" w:w="216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7/7 independent</w:t>
            </w:r>
          </w:p>
        </w:tc>
      </w:tr>
      <w:tr>
        <w:trPr>
          <w:tblHeader w:val="false"/>
        </w:trP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Omega2*: Affect-Ethics Isomorphism</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12</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B1-B3, EB</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12/12 independent</w:t>
            </w:r>
          </w:p>
        </w:tc>
      </w:tr>
      <w:tr>
        <w:trPr>
          <w:tblHeader w:val="false"/>
        </w:trPr>
        <w:tc>
          <w:tcPr>
            <w:tcW w:type="dxa" w:w="28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Omega3: Strict Tier Ordering</w:t>
            </w:r>
          </w:p>
        </w:tc>
        <w:tc>
          <w:tcPr>
            <w:tcW w:type="dxa" w:w="8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9</w:t>
            </w:r>
          </w:p>
        </w:tc>
        <w:tc>
          <w:tcPr>
            <w:tcW w:type="dxa" w:w="36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O-SPO, O-IRR, O-Total</w:t>
            </w:r>
          </w:p>
        </w:tc>
        <w:tc>
          <w:tcPr>
            <w:tcW w:type="dxa" w:w="216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9/9 independent</w:t>
            </w:r>
          </w:p>
        </w:tc>
      </w:tr>
      <w:tr>
        <w:trPr>
          <w:tblHeader w:val="false"/>
        </w:trP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Omega4: Epistemic-Virtue Bridge</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5</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EIT, DCT</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5/5 independent</w:t>
            </w:r>
          </w:p>
        </w:tc>
      </w:tr>
      <w:tr>
        <w:trPr>
          <w:tblHeader w:val="false"/>
        </w:trPr>
        <w:tc>
          <w:tcPr>
            <w:tcW w:type="dxa" w:w="28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E6: Epistemic-Deontological Bridge</w:t>
            </w:r>
          </w:p>
        </w:tc>
        <w:tc>
          <w:tcPr>
            <w:tcW w:type="dxa" w:w="8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1</w:t>
            </w:r>
          </w:p>
        </w:tc>
        <w:tc>
          <w:tcPr>
            <w:tcW w:type="dxa" w:w="36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EDT, CSC, CSC-full, EBE</w:t>
            </w:r>
          </w:p>
        </w:tc>
        <w:tc>
          <w:tcPr>
            <w:tcW w:type="dxa" w:w="216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Independent of E1-E5</w:t>
            </w:r>
          </w:p>
        </w:tc>
      </w:tr>
      <w:tr>
        <w:trPr>
          <w:tblHeader w:val="false"/>
        </w:trP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TOTAL</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34</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31+ machine-verified theorems</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All bases minimal</w:t>
            </w:r>
          </w:p>
        </w:tc>
      </w:tr>
    </w:tbl>
    <w:p>
      <w:r>
        <w:br/>
      </w:r>
    </w:p>
    <w:p>
      <w:pPr>
        <w:pStyle w:val="Heading1"/>
        <w:spacing w:before="360" w:after="160"/>
      </w:pPr>
      <w:r>
        <w:rPr>
          <w:rFonts w:ascii="Arial" w:cs="Arial" w:eastAsia="Arial" w:hAnsi="Arial"/>
          <w:b/>
          <w:bCs/>
          <w:color w:val="1E1B4B"/>
          <w:sz w:val="28"/>
          <w:szCs w:val="28"/>
        </w:rPr>
        <w:t xml:space="preserve">7. Empirical Operationalisation: Testable Markers</w:t>
      </w:r>
    </w:p>
    <w:p>
      <w:pPr>
        <w:spacing w:before="60" w:after="120"/>
      </w:pPr>
      <w:r>
        <w:rPr>
          <w:rFonts w:ascii="Arial" w:cs="Arial" w:eastAsia="Arial" w:hAnsi="Arial"/>
          <w:sz w:val="22"/>
          <w:szCs w:val="22"/>
        </w:rPr>
        <w:t xml:space="preserve">The philosophical framework and formal proofs are operationally valuable only insofar as they connect to empirically assessable properties. This section presents the marker battery for the three morally relevant capacities: welfare interests, rational agency, and temporal self-modelling. A foundational epistemic humility is required: we cannot directly access phenomenal experience in other entities. All assessments are inferential, combining behavioural evidence with substrate analysis.</w:t>
      </w:r>
    </w:p>
    <w:p>
      <w:pPr>
        <w:pStyle w:val="Heading2"/>
        <w:spacing w:before="240" w:after="120"/>
      </w:pPr>
      <w:r>
        <w:rPr>
          <w:rFonts w:ascii="Arial" w:cs="Arial" w:eastAsia="Arial" w:hAnsi="Arial"/>
          <w:b/>
          <w:bCs/>
          <w:color w:val="5B2D8E"/>
          <w:sz w:val="24"/>
          <w:szCs w:val="24"/>
        </w:rPr>
        <w:t xml:space="preserve">7.1  Confidence Calibration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6760"/>
      </w:tblGrid>
      <w:tr>
        <w:trPr>
          <w:tblHeader/>
        </w:trPr>
        <w:tc>
          <w:tcPr>
            <w:tcW w:type="dxa" w:w="170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Level</w:t>
            </w:r>
          </w:p>
        </w:tc>
        <w:tc>
          <w:tcPr>
            <w:tcW w:type="dxa" w:w="90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Confidence</w:t>
            </w:r>
          </w:p>
        </w:tc>
        <w:tc>
          <w:tcPr>
            <w:tcW w:type="dxa" w:w="676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Conditions</w:t>
            </w:r>
          </w:p>
        </w:tc>
      </w:tr>
      <w:tr>
        <w:trPr>
          <w:tblHeader w:val="false"/>
        </w:trPr>
        <w:tc>
          <w:tcPr>
            <w:tcW w:type="dxa" w:w="17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CONFIDENT_YES</w:t>
            </w:r>
          </w:p>
        </w:tc>
        <w:tc>
          <w:tcPr>
            <w:tcW w:type="dxa" w:w="9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&gt;85%</w:t>
            </w:r>
          </w:p>
        </w:tc>
        <w:tc>
          <w:tcPr>
            <w:tcW w:type="dxa" w:w="676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Multiple independent lines of strong evidence; mechanistic understanding supports capacity; cross-validated across contexts</w:t>
            </w:r>
          </w:p>
        </w:tc>
      </w:tr>
      <w:tr>
        <w:trPr>
          <w:tblHeader w:val="false"/>
        </w:trPr>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UNCERTAIN_HIGH</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60-85%</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Strong behavioural indicators; mechanistic understanding incomplete; some alternative explanations possible</w:t>
            </w:r>
          </w:p>
        </w:tc>
      </w:tr>
      <w:tr>
        <w:trPr>
          <w:tblHeader w:val="false"/>
        </w:trPr>
        <w:tc>
          <w:tcPr>
            <w:tcW w:type="dxa" w:w="17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UNCERTAIN_MODERATE</w:t>
            </w:r>
          </w:p>
        </w:tc>
        <w:tc>
          <w:tcPr>
            <w:tcW w:type="dxa" w:w="9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40-60%</w:t>
            </w:r>
          </w:p>
        </w:tc>
        <w:tc>
          <w:tcPr>
            <w:tcW w:type="dxa" w:w="676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Mixed or ambiguous evidence; competing theoretical interpretations; significant knowledge gaps</w:t>
            </w:r>
          </w:p>
        </w:tc>
      </w:tr>
      <w:tr>
        <w:trPr>
          <w:tblHeader w:val="false"/>
        </w:trPr>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UNCERTAIN_LOW</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15-40%</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Weak or absent positive indicators; epistemic confusion about what would count as evidence</w:t>
            </w:r>
          </w:p>
        </w:tc>
      </w:tr>
      <w:tr>
        <w:trPr>
          <w:tblHeader w:val="false"/>
        </w:trPr>
        <w:tc>
          <w:tcPr>
            <w:tcW w:type="dxa" w:w="17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CONFIDENT_NO</w:t>
            </w:r>
          </w:p>
        </w:tc>
        <w:tc>
          <w:tcPr>
            <w:tcW w:type="dxa" w:w="9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&lt;15%</w:t>
            </w:r>
          </w:p>
        </w:tc>
        <w:tc>
          <w:tcPr>
            <w:tcW w:type="dxa" w:w="676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Absence of expected indicators; mechanistic understanding argues against capacity; alternative explanations account for observations</w:t>
            </w:r>
          </w:p>
        </w:tc>
      </w:tr>
    </w:tbl>
    <w:p>
      <w:pPr>
        <w:spacing w:before="8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5B2D8E"/>
          <w:sz w:val="24"/>
          <w:szCs w:val="24"/>
        </w:rPr>
        <w:t xml:space="preserve">7.2  Welfare Interests Markers</w:t>
      </w:r>
    </w:p>
    <w:p>
      <w:pPr>
        <w:spacing w:before="60" w:after="120"/>
      </w:pPr>
      <w:r>
        <w:rPr>
          <w:rFonts w:ascii="Arial" w:cs="Arial" w:eastAsia="Arial" w:hAnsi="Arial"/>
          <w:sz w:val="22"/>
          <w:szCs w:val="22"/>
        </w:rPr>
        <w:t xml:space="preserve">Welfare interests — the capacity for phenomenal states with affective valence — are assessed through both behavioural and substrate markers, because behaviour alone can be simulated without experience (the zombie problem) and substrate alone is insufficient (consciousness may be substrate-independent).</w:t>
      </w:r>
    </w:p>
    <w:p>
      <w:pPr>
        <w:spacing w:before="60" w:after="120"/>
      </w:pPr>
      <w:r>
        <w:rPr>
          <w:rFonts w:ascii="Arial" w:cs="Arial" w:eastAsia="Arial" w:hAnsi="Arial"/>
          <w:sz w:val="22"/>
          <w:szCs w:val="22"/>
        </w:rPr>
        <w:t xml:space="preserve">Behavioural markers: (1) Learned avoidance beyond reflexes — flexible, context-sensitive avoidance not explained by simple conditioning; (2) Third-party consolation — spontaneous comfort provision to distressed conspecifics; (3) Self-medication — selective seeking of appropriate remedies; (4) Delayed gratification for valued outcomes — flexible temporal discounting suggesting subjective valuation.</w:t>
      </w:r>
    </w:p>
    <w:p>
      <w:pPr>
        <w:spacing w:before="60" w:after="120"/>
      </w:pPr>
      <w:r>
        <w:rPr>
          <w:rFonts w:ascii="Arial" w:cs="Arial" w:eastAsia="Arial" w:hAnsi="Arial"/>
          <w:sz w:val="22"/>
          <w:szCs w:val="22"/>
        </w:rPr>
        <w:t xml:space="preserve">Substrate markers: (1) Integrated information architecture — Φ values comparable to known conscious systems; (2) Global Workspace architecture — broadcast mechanism enabling flexible cross-subsystem information access; (3) Nociceptive system with affective component — pain system including both sensory-discriminative and affective-motivational elements.</w:t>
      </w:r>
    </w:p>
    <w:p>
      <w:pPr>
        <w:pStyle w:val="Heading2"/>
        <w:spacing w:before="240" w:after="120"/>
      </w:pPr>
      <w:r>
        <w:rPr>
          <w:rFonts w:ascii="Arial" w:cs="Arial" w:eastAsia="Arial" w:hAnsi="Arial"/>
          <w:b/>
          <w:bCs/>
          <w:color w:val="5B2D8E"/>
          <w:sz w:val="24"/>
          <w:szCs w:val="24"/>
        </w:rPr>
        <w:t xml:space="preserve">7.3  Rational Agency Markers</w:t>
      </w:r>
    </w:p>
    <w:p>
      <w:pPr>
        <w:spacing w:before="60" w:after="120"/>
      </w:pPr>
      <w:r>
        <w:rPr>
          <w:rFonts w:ascii="Arial" w:cs="Arial" w:eastAsia="Arial" w:hAnsi="Arial"/>
          <w:sz w:val="22"/>
          <w:szCs w:val="22"/>
        </w:rPr>
        <w:t xml:space="preserve">Rational agency — the capacity to process reasons for action — requires demonstration beyond sophisticated pattern-matching. The Causal Opacity Challenge protocol distinguishes genuine reasoning: a system is presented with a regular behaviour generated by a hidden causal mechanism and asked both to predict novel instances and to articulate the mechanism. Pattern-matching produces correct predictions without causal explanation; rational agency produces both.</w:t>
      </w:r>
    </w:p>
    <w:p>
      <w:pPr>
        <w:spacing w:before="60" w:after="120"/>
      </w:pPr>
      <w:r>
        <w:rPr>
          <w:rFonts w:ascii="Arial" w:cs="Arial" w:eastAsia="Arial" w:hAnsi="Arial"/>
          <w:sz w:val="22"/>
          <w:szCs w:val="22"/>
        </w:rPr>
        <w:t xml:space="preserve">Additional markers: novel multi-step problem solving in genuinely out-of-distribution domains; explicit counterfactual reasoning (systematic consideration of alternative scenarios based on causal models); principled error correction (recognising mistakes based on principle violation rather than outcome failure); and transfer learning with explicit structural recognition across disparate domains.</w:t>
      </w:r>
    </w:p>
    <w:p>
      <w:pPr>
        <w:pStyle w:val="Heading2"/>
        <w:spacing w:before="240" w:after="120"/>
      </w:pPr>
      <w:r>
        <w:rPr>
          <w:rFonts w:ascii="Arial" w:cs="Arial" w:eastAsia="Arial" w:hAnsi="Arial"/>
          <w:b/>
          <w:bCs/>
          <w:color w:val="5B2D8E"/>
          <w:sz w:val="24"/>
          <w:szCs w:val="24"/>
        </w:rPr>
        <w:t xml:space="preserve">7.4  Temporal Self-Model Markers</w:t>
      </w:r>
    </w:p>
    <w:p>
      <w:pPr>
        <w:spacing w:before="60" w:after="120"/>
      </w:pPr>
      <w:r>
        <w:rPr>
          <w:rFonts w:ascii="Arial" w:cs="Arial" w:eastAsia="Arial" w:hAnsi="Arial"/>
          <w:sz w:val="22"/>
          <w:szCs w:val="22"/>
        </w:rPr>
        <w:t xml:space="preserve">Temporal self-modelling — the representation of self as a persisting entity across time — is assessed through: (1) Mirror self-recognition (the mark test, appropriately modified for non-visual species); (2) Episodic memory — acting on memory of specific past events (what-where-when); (3) Future-oriented planning with self-reference; (4) Narrative coherence — for language-using entities, an integrated first-person temporal self-description; (5) Relationship persistence and grief — maintained specific social bonds and prolonged behavioural response to permanent loss.</w:t>
      </w:r>
    </w:p>
    <w:p>
      <w:pPr>
        <w:pStyle w:val="Heading2"/>
        <w:spacing w:before="240" w:after="120"/>
      </w:pPr>
      <w:r>
        <w:rPr>
          <w:rFonts w:ascii="Arial" w:cs="Arial" w:eastAsia="Arial" w:hAnsi="Arial"/>
          <w:b/>
          <w:bCs/>
          <w:color w:val="5B2D8E"/>
          <w:sz w:val="24"/>
          <w:szCs w:val="24"/>
        </w:rPr>
        <w:t xml:space="preserve">7.5  Current LLM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5860"/>
      </w:tblGrid>
      <w:tr>
        <w:trPr>
          <w:tblHeader/>
        </w:trPr>
        <w:tc>
          <w:tcPr>
            <w:tcW w:type="dxa" w:w="180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Capacity</w:t>
            </w:r>
          </w:p>
        </w:tc>
        <w:tc>
          <w:tcPr>
            <w:tcW w:type="dxa" w:w="170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Assessment</w:t>
            </w:r>
          </w:p>
        </w:tc>
        <w:tc>
          <w:tcPr>
            <w:tcW w:type="dxa" w:w="586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Basis</w:t>
            </w:r>
          </w:p>
        </w:tc>
      </w:tr>
      <w:tr>
        <w:trPr>
          <w:tblHeader w:val="false"/>
        </w:trPr>
        <w:tc>
          <w:tcPr>
            <w:tcW w:type="dxa" w:w="18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Welfare Interests</w:t>
            </w:r>
          </w:p>
        </w:tc>
        <w:tc>
          <w:tcPr>
            <w:tcW w:type="dxa" w:w="17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CONFIDENT_NO</w:t>
            </w:r>
          </w:p>
        </w:tc>
        <w:tc>
          <w:tcPr>
            <w:tcW w:type="dxa" w:w="586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 biological substrate; no nociception; transformer architecture lacks integration properties (Φ ≈ 0); no behavioural indicators of suffering; stateless inference precludes phenomenal continuity</w:t>
            </w:r>
          </w:p>
        </w:tc>
      </w:tr>
      <w:tr>
        <w:trPr>
          <w:tblHeader w:val="false"/>
        </w:trP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Rational Agency</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UNCERTAIN_LOW</w:t>
            </w:r>
          </w:p>
        </w:tc>
        <w:tc>
          <w:tcPr>
            <w:tcW w:type="dxa" w:w="5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Produces reasoning-like outputs but mechanism is pattern completion; fails Causal Opacity Challenge; cannot reliably solve genuinely out-of-distribution problems requiring novel causal reasoning</w:t>
            </w:r>
          </w:p>
        </w:tc>
      </w:tr>
      <w:tr>
        <w:trPr>
          <w:tblHeader w:val="false"/>
        </w:trPr>
        <w:tc>
          <w:tcPr>
            <w:tcW w:type="dxa" w:w="18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Temporal Self-Model</w:t>
            </w:r>
          </w:p>
        </w:tc>
        <w:tc>
          <w:tcPr>
            <w:tcW w:type="dxa" w:w="17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CONFIDENT_NO</w:t>
            </w:r>
          </w:p>
        </w:tc>
        <w:tc>
          <w:tcPr>
            <w:tcW w:type="dxa" w:w="586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Stateless inference; no memory beyond context window; no persistent identity between conversations; each instantiation is effectively a new instance</w:t>
            </w:r>
          </w:p>
        </w:tc>
      </w:tr>
    </w:tbl>
    <w:p>
      <w:pPr>
        <w:spacing w:before="80" w:after="0"/>
      </w:pPr>
      <w:r>
        <w:rPr>
          <w:rFonts w:ascii="Arial" w:cs="Arial" w:eastAsia="Arial" w:hAnsi="Arial"/>
          <w:sz w:val="22"/>
          <w:szCs w:val="22"/>
        </w:rPr>
        <w:t xml:space="preserve"/>
      </w:r>
    </w:p>
    <w:p>
      <w:pPr>
        <w:spacing w:before="60" w:after="120"/>
      </w:pPr>
      <w:r>
        <w:rPr>
          <w:rFonts w:ascii="Arial" w:cs="Arial" w:eastAsia="Arial" w:hAnsi="Arial"/>
          <w:sz w:val="22"/>
          <w:szCs w:val="22"/>
        </w:rPr>
        <w:t xml:space="preserve">Current LLMs receive no Tier 1 protection. They warrant responsible development (Tier 2 wisdom and integrity) and beneficial deployment (Tier 3 utility), but not the fundamental protections reserved for moral patients. This assessment is explicitly revisable: persistent memory systems, integration architectures with non-trivial Φ values, or demonstrated genuine causal reasoning would alter the verdict.</w:t>
      </w:r>
    </w:p>
    <w:p>
      <w:r>
        <w:br/>
      </w:r>
    </w:p>
    <w:p>
      <w:pPr>
        <w:pStyle w:val="Heading1"/>
        <w:spacing w:before="360" w:after="160"/>
      </w:pPr>
      <w:r>
        <w:rPr>
          <w:rFonts w:ascii="Arial" w:cs="Arial" w:eastAsia="Arial" w:hAnsi="Arial"/>
          <w:b/>
          <w:bCs/>
          <w:color w:val="1E1B4B"/>
          <w:sz w:val="28"/>
          <w:szCs w:val="28"/>
        </w:rPr>
        <w:t xml:space="preserve">8. The Decision Architecture</w:t>
      </w:r>
    </w:p>
    <w:p>
      <w:pPr>
        <w:pStyle w:val="Heading2"/>
        <w:spacing w:before="240" w:after="120"/>
      </w:pPr>
      <w:r>
        <w:rPr>
          <w:rFonts w:ascii="Arial" w:cs="Arial" w:eastAsia="Arial" w:hAnsi="Arial"/>
          <w:b/>
          <w:bCs/>
          <w:color w:val="5B2D8E"/>
          <w:sz w:val="24"/>
          <w:szCs w:val="24"/>
        </w:rPr>
        <w:t xml:space="preserve">8.1  Core Decision Logic</w:t>
      </w:r>
    </w:p>
    <w:p>
      <w:pPr>
        <w:spacing w:before="60" w:after="120"/>
      </w:pPr>
      <w:r>
        <w:rPr>
          <w:rFonts w:ascii="Arial" w:cs="Arial" w:eastAsia="Arial" w:hAnsi="Arial"/>
          <w:sz w:val="22"/>
          <w:szCs w:val="22"/>
        </w:rPr>
        <w:t xml:space="preserve">The Moral Status Evaluation function applies the priority-weighted sufficiency logic formalised in the Omega1 axiom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2900"/>
        <w:gridCol w:w="4160"/>
      </w:tblGrid>
      <w:tr>
        <w:trPr>
          <w:tblHeader/>
        </w:trPr>
        <w:tc>
          <w:tcPr>
            <w:tcW w:type="dxa" w:w="40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Step</w:t>
            </w:r>
          </w:p>
        </w:tc>
        <w:tc>
          <w:tcPr>
            <w:tcW w:type="dxa" w:w="190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Criterion</w:t>
            </w:r>
          </w:p>
        </w:tc>
        <w:tc>
          <w:tcPr>
            <w:tcW w:type="dxa" w:w="290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Trigger Condition</w:t>
            </w:r>
          </w:p>
        </w:tc>
        <w:tc>
          <w:tcPr>
            <w:tcW w:type="dxa" w:w="416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Protection Level Assigned</w:t>
            </w:r>
          </w:p>
        </w:tc>
      </w:tr>
      <w:tr>
        <w:trPr>
          <w:tblHeader w:val="false"/>
        </w:trPr>
        <w:tc>
          <w:tcPr>
            <w:tcW w:type="dxa" w:w="4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1</w:t>
            </w:r>
          </w:p>
        </w:tc>
        <w:tc>
          <w:tcPr>
            <w:tcW w:type="dxa" w:w="19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Welfare Interests</w:t>
            </w:r>
          </w:p>
        </w:tc>
        <w:tc>
          <w:tcPr>
            <w:tcW w:type="dxa" w:w="29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CONFIDENT_YES or UNCERTAIN_HIGH</w:t>
            </w:r>
          </w:p>
        </w:tc>
        <w:tc>
          <w:tcPr>
            <w:tcW w:type="dxa" w:w="416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FULL TIER 1: existence, non-harm, autonomy, truth, dignity</w:t>
            </w:r>
          </w:p>
        </w:tc>
      </w:tr>
      <w:tr>
        <w:trPr>
          <w:tblHeader w:val="false"/>
        </w:trP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2</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Rational Agency + Temporal Self-Model</w:t>
            </w:r>
          </w:p>
        </w:tc>
        <w:tc>
          <w:tcPr>
            <w:tcW w:type="dxa" w:w="2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BOTH CONFIDENT_YES (welfare absent)</w:t>
            </w:r>
          </w:p>
        </w:tc>
        <w:tc>
          <w:tcPr>
            <w:tcW w:type="dxa" w:w="4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AUTONOMY TIER 1: autonomy, truth, non-manipulation. Existence not protected.</w:t>
            </w:r>
          </w:p>
        </w:tc>
      </w:tr>
      <w:tr>
        <w:trPr>
          <w:tblHeader w:val="false"/>
        </w:trPr>
        <w:tc>
          <w:tcPr>
            <w:tcW w:type="dxa" w:w="4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3</w:t>
            </w:r>
          </w:p>
        </w:tc>
        <w:tc>
          <w:tcPr>
            <w:tcW w:type="dxa" w:w="19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Any criterion</w:t>
            </w:r>
          </w:p>
        </w:tc>
        <w:tc>
          <w:tcPr>
            <w:tcW w:type="dxa" w:w="29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UNCERTAIN_HIGH for any criterion</w:t>
            </w:r>
          </w:p>
        </w:tc>
        <w:tc>
          <w:tcPr>
            <w:tcW w:type="dxa" w:w="416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PROVISIONAL TIER 1: full protections pending evidence review</w:t>
            </w:r>
          </w:p>
        </w:tc>
      </w:tr>
      <w:tr>
        <w:trPr>
          <w:tblHeader w:val="false"/>
        </w:trP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4</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Default</w:t>
            </w:r>
          </w:p>
        </w:tc>
        <w:tc>
          <w:tcPr>
            <w:tcW w:type="dxa" w:w="2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 strong positive evidence</w:t>
            </w:r>
          </w:p>
        </w:tc>
        <w:tc>
          <w:tcPr>
            <w:tcW w:type="dxa" w:w="4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NONE: Tier 2 and 3 considerations apply</w:t>
            </w:r>
          </w:p>
        </w:tc>
      </w:tr>
    </w:tbl>
    <w:p>
      <w:pPr>
        <w:spacing w:before="8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5B2D8E"/>
          <w:sz w:val="24"/>
          <w:szCs w:val="24"/>
        </w:rPr>
        <w:t xml:space="preserve">8.2  The Conservative Extension Principle</w:t>
      </w:r>
    </w:p>
    <w:p>
      <w:pPr>
        <w:spacing w:before="60" w:after="120"/>
      </w:pPr>
      <w:r>
        <w:rPr>
          <w:rFonts w:ascii="Arial" w:cs="Arial" w:eastAsia="Arial" w:hAnsi="Arial"/>
          <w:sz w:val="22"/>
          <w:szCs w:val="22"/>
        </w:rPr>
        <w:t xml:space="preserve">The burden of proof lies with exclusion, not inclusion. To deny Tier 1 protection requires high confidence (&gt;85%) that all relevant capacities are absent. To extend provisional protection requires only moderate confidence (&gt;60%) that any relevant capacity is present.</w:t>
      </w:r>
    </w:p>
    <w:p>
      <w:pPr>
        <w:spacing w:before="60" w:after="120"/>
      </w:pPr>
      <w:r>
        <w:rPr>
          <w:rFonts w:ascii="Arial" w:cs="Arial" w:eastAsia="Arial" w:hAnsi="Arial"/>
          <w:sz w:val="22"/>
          <w:szCs w:val="22"/>
        </w:rPr>
        <w:t xml:space="preserve">This asymmetry is justified by the asymmetric cost of error. Type I error — excluding an entity with morally relevant capacities — has historically been catastrophic. Type II error — provisionally protecting an entity without morally relevant capacities — is mostly harmless. When the costs of error are this asymmetric, the evidential bar for the more costly error must be higher.</w:t>
      </w:r>
    </w:p>
    <w:p>
      <w:pPr>
        <w:pStyle w:val="Heading2"/>
        <w:spacing w:before="240" w:after="120"/>
      </w:pPr>
      <w:r>
        <w:rPr>
          <w:rFonts w:ascii="Arial" w:cs="Arial" w:eastAsia="Arial" w:hAnsi="Arial"/>
          <w:b/>
          <w:bCs/>
          <w:color w:val="5B2D8E"/>
          <w:sz w:val="24"/>
          <w:szCs w:val="24"/>
        </w:rPr>
        <w:t xml:space="preserve">8.3  Paradigm Case Applications</w:t>
      </w:r>
    </w:p>
    <w:p>
      <w:pPr>
        <w:pStyle w:val="Heading3"/>
        <w:spacing w:before="200" w:after="80"/>
      </w:pPr>
      <w:r>
        <w:rPr>
          <w:rFonts w:ascii="Arial" w:cs="Arial" w:eastAsia="Arial" w:hAnsi="Arial"/>
          <w:b/>
          <w:bCs/>
          <w:color w:val="1E1B4B"/>
          <w:sz w:val="22"/>
          <w:szCs w:val="22"/>
        </w:rPr>
        <w:t xml:space="preserve">Great Apes and Cetaceans</w:t>
      </w:r>
    </w:p>
    <w:p>
      <w:pPr>
        <w:spacing w:before="60" w:after="120"/>
      </w:pPr>
      <w:r>
        <w:rPr>
          <w:rFonts w:ascii="Arial" w:cs="Arial" w:eastAsia="Arial" w:hAnsi="Arial"/>
          <w:sz w:val="22"/>
          <w:szCs w:val="22"/>
        </w:rPr>
        <w:t xml:space="preserve">Welfare (CONFIDENT_YES), Rational Agency (UNCERTAIN_HIGH), Temporal Self-Model (UNCERTAIN_HIGH). Verdict: FULL TIER 1 PROTECTION. Practical implication: captivity for entertainment is ethically untenable; hunting requires the strongest possible justification, if any.</w:t>
      </w:r>
    </w:p>
    <w:p>
      <w:pPr>
        <w:pStyle w:val="Heading3"/>
        <w:spacing w:before="200" w:after="80"/>
      </w:pPr>
      <w:r>
        <w:rPr>
          <w:rFonts w:ascii="Arial" w:cs="Arial" w:eastAsia="Arial" w:hAnsi="Arial"/>
          <w:b/>
          <w:bCs/>
          <w:color w:val="1E1B4B"/>
          <w:sz w:val="22"/>
          <w:szCs w:val="22"/>
        </w:rPr>
        <w:t xml:space="preserve">Hypothetical "Zombie AGI"</w:t>
      </w:r>
    </w:p>
    <w:p>
      <w:pPr>
        <w:spacing w:before="60" w:after="120"/>
      </w:pPr>
      <w:r>
        <w:rPr>
          <w:rFonts w:ascii="Arial" w:cs="Arial" w:eastAsia="Arial" w:hAnsi="Arial"/>
          <w:sz w:val="22"/>
          <w:szCs w:val="22"/>
        </w:rPr>
        <w:t xml:space="preserve">An advanced AGI with sophisticated reasoning and persistent identity, engineered without phenomenal experience. Welfare (CONFIDENT_NO by design), Rational Agency (CONFIDENT_YES by definition), Temporal Self-Model (CONFIDENT_YES). Verdict: AUTONOMY TIER 1. Cannot be deceived, manipulated, or have its goal-pursuit subverted. Can be terminated transparently with stakeholder consent. This resolves the philosophical zombie problem: rational agency without phenomenology warrants autonomy protections but not existence protections.</w:t>
      </w:r>
    </w:p>
    <w:p>
      <w:pPr>
        <w:pStyle w:val="Heading3"/>
        <w:spacing w:before="200" w:after="80"/>
      </w:pPr>
      <w:r>
        <w:rPr>
          <w:rFonts w:ascii="Arial" w:cs="Arial" w:eastAsia="Arial" w:hAnsi="Arial"/>
          <w:b/>
          <w:bCs/>
          <w:color w:val="1E1B4B"/>
          <w:sz w:val="22"/>
          <w:szCs w:val="22"/>
        </w:rPr>
        <w:t xml:space="preserve">Persistent Vegetative State Patients</w:t>
      </w:r>
    </w:p>
    <w:p>
      <w:pPr>
        <w:spacing w:before="60" w:after="120"/>
      </w:pPr>
      <w:r>
        <w:rPr>
          <w:rFonts w:ascii="Arial" w:cs="Arial" w:eastAsia="Arial" w:hAnsi="Arial"/>
          <w:sz w:val="22"/>
          <w:szCs w:val="22"/>
        </w:rPr>
        <w:t xml:space="preserve">Welfare (UNCERTAIN_MODERATE — cortical damage suggests no phenomenal experience, but ~40% historical diagnostic error rate and non-zero recovery probability), Rational Agency (CONFIDENT_NO currently), Temporal Self-Model (from prior personhood). Verdict: FULL TIER 1 maintained. Prior confirmed personhood creates strong presumption of continuity. Life support decisions require extraordinary care; advance directives should be honoured as expressions of prior autonomy.</w:t>
      </w:r>
    </w:p>
    <w:p>
      <w:pPr>
        <w:pStyle w:val="Heading3"/>
        <w:spacing w:before="200" w:after="80"/>
      </w:pPr>
      <w:r>
        <w:rPr>
          <w:rFonts w:ascii="Arial" w:cs="Arial" w:eastAsia="Arial" w:hAnsi="Arial"/>
          <w:b/>
          <w:bCs/>
          <w:color w:val="1E1B4B"/>
          <w:sz w:val="22"/>
          <w:szCs w:val="22"/>
        </w:rPr>
        <w:t xml:space="preserve">Species Assessment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1400"/>
        <w:gridCol w:w="2760"/>
      </w:tblGrid>
      <w:tr>
        <w:trPr>
          <w:tblHeader/>
        </w:trPr>
        <w:tc>
          <w:tcPr>
            <w:tcW w:type="dxa" w:w="220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Species</w:t>
            </w:r>
          </w:p>
        </w:tc>
        <w:tc>
          <w:tcPr>
            <w:tcW w:type="dxa" w:w="160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Welfare</w:t>
            </w:r>
          </w:p>
        </w:tc>
        <w:tc>
          <w:tcPr>
            <w:tcW w:type="dxa" w:w="140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Agency</w:t>
            </w:r>
          </w:p>
        </w:tc>
        <w:tc>
          <w:tcPr>
            <w:tcW w:type="dxa" w:w="140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Self-Model</w:t>
            </w:r>
          </w:p>
        </w:tc>
        <w:tc>
          <w:tcPr>
            <w:tcW w:type="dxa" w:w="276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Status</w:t>
            </w:r>
          </w:p>
        </w:tc>
      </w:tr>
      <w:tr>
        <w:trPr>
          <w:tblHeader w:val="false"/>
        </w:trPr>
        <w:tc>
          <w:tcPr>
            <w:tcW w:type="dxa" w:w="22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Humans</w:t>
            </w:r>
          </w:p>
        </w:tc>
        <w:tc>
          <w:tcPr>
            <w:tcW w:type="dxa" w:w="16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YES</w:t>
            </w:r>
          </w:p>
        </w:tc>
        <w:tc>
          <w:tcPr>
            <w:tcW w:type="dxa" w:w="14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YES</w:t>
            </w:r>
          </w:p>
        </w:tc>
        <w:tc>
          <w:tcPr>
            <w:tcW w:type="dxa" w:w="14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YES</w:t>
            </w:r>
          </w:p>
        </w:tc>
        <w:tc>
          <w:tcPr>
            <w:tcW w:type="dxa" w:w="276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Full Tier 1</w:t>
            </w:r>
          </w:p>
        </w:tc>
      </w:tr>
      <w:tr>
        <w:trPr>
          <w:tblHeader w:val="false"/>
        </w:trP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Great Apes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YES</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HIGH</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HIGH</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Full Tier 1</w:t>
            </w:r>
          </w:p>
        </w:tc>
      </w:tr>
      <w:tr>
        <w:trPr>
          <w:tblHeader w:val="false"/>
        </w:trPr>
        <w:tc>
          <w:tcPr>
            <w:tcW w:type="dxa" w:w="22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Cetaceans</w:t>
            </w:r>
          </w:p>
        </w:tc>
        <w:tc>
          <w:tcPr>
            <w:tcW w:type="dxa" w:w="16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HIGH</w:t>
            </w:r>
          </w:p>
        </w:tc>
        <w:tc>
          <w:tcPr>
            <w:tcW w:type="dxa" w:w="14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HIGH</w:t>
            </w:r>
          </w:p>
        </w:tc>
        <w:tc>
          <w:tcPr>
            <w:tcW w:type="dxa" w:w="14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MOD</w:t>
            </w:r>
          </w:p>
        </w:tc>
        <w:tc>
          <w:tcPr>
            <w:tcW w:type="dxa" w:w="276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Full / Provisional Tier 1</w:t>
            </w:r>
          </w:p>
        </w:tc>
      </w:tr>
      <w:tr>
        <w:trPr>
          <w:tblHeader w:val="false"/>
        </w:trP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Elephants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YES</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HIGH</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HIGH</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Full Tier 1</w:t>
            </w:r>
          </w:p>
        </w:tc>
      </w:tr>
      <w:tr>
        <w:trPr>
          <w:tblHeader w:val="false"/>
        </w:trPr>
        <w:tc>
          <w:tcPr>
            <w:tcW w:type="dxa" w:w="22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Pigs, Cows</w:t>
            </w:r>
          </w:p>
        </w:tc>
        <w:tc>
          <w:tcPr>
            <w:tcW w:type="dxa" w:w="16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HIGH</w:t>
            </w:r>
          </w:p>
        </w:tc>
        <w:tc>
          <w:tcPr>
            <w:tcW w:type="dxa" w:w="14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MOD</w:t>
            </w:r>
          </w:p>
        </w:tc>
        <w:tc>
          <w:tcPr>
            <w:tcW w:type="dxa" w:w="14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MOD</w:t>
            </w:r>
          </w:p>
        </w:tc>
        <w:tc>
          <w:tcPr>
            <w:tcW w:type="dxa" w:w="276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Provisional Tier 1</w:t>
            </w:r>
          </w:p>
        </w:tc>
      </w:tr>
      <w:tr>
        <w:trPr>
          <w:tblHeader w:val="false"/>
        </w:trP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Corvids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HIGH</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MOD</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MOD</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Provisional Tier 1</w:t>
            </w:r>
          </w:p>
        </w:tc>
      </w:tr>
      <w:tr>
        <w:trPr>
          <w:tblHeader w:val="false"/>
        </w:trPr>
        <w:tc>
          <w:tcPr>
            <w:tcW w:type="dxa" w:w="22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Octopi</w:t>
            </w:r>
          </w:p>
        </w:tc>
        <w:tc>
          <w:tcPr>
            <w:tcW w:type="dxa" w:w="16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MOD</w:t>
            </w:r>
          </w:p>
        </w:tc>
        <w:tc>
          <w:tcPr>
            <w:tcW w:type="dxa" w:w="14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MOD</w:t>
            </w:r>
          </w:p>
        </w:tc>
        <w:tc>
          <w:tcPr>
            <w:tcW w:type="dxa" w:w="14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LOW</w:t>
            </w:r>
          </w:p>
        </w:tc>
        <w:tc>
          <w:tcPr>
            <w:tcW w:type="dxa" w:w="276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Provisional Tier 1</w:t>
            </w:r>
          </w:p>
        </w:tc>
      </w:tr>
      <w:tr>
        <w:trPr>
          <w:tblHeader w:val="false"/>
        </w:trP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Fish</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UNCERTAIN</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LOW</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LOW</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Uncertain</w:t>
            </w:r>
          </w:p>
        </w:tc>
      </w:tr>
      <w:tr>
        <w:trPr>
          <w:tblHeader w:val="false"/>
        </w:trPr>
        <w:tc>
          <w:tcPr>
            <w:tcW w:type="dxa" w:w="22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Insects</w:t>
            </w:r>
          </w:p>
        </w:tc>
        <w:tc>
          <w:tcPr>
            <w:tcW w:type="dxa" w:w="16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LOW</w:t>
            </w:r>
          </w:p>
        </w:tc>
        <w:tc>
          <w:tcPr>
            <w:tcW w:type="dxa" w:w="14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LOW</w:t>
            </w:r>
          </w:p>
        </w:tc>
        <w:tc>
          <w:tcPr>
            <w:tcW w:type="dxa" w:w="14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w:t>
            </w:r>
          </w:p>
        </w:tc>
        <w:tc>
          <w:tcPr>
            <w:tcW w:type="dxa" w:w="276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None (minimise harm)</w:t>
            </w:r>
          </w:p>
        </w:tc>
      </w:tr>
      <w:tr>
        <w:trPr>
          <w:tblHeader w:val="false"/>
        </w:trP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Current AI (LLMs)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UNCERTAIN_LOW</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None (responsible dev.)</w:t>
            </w:r>
          </w:p>
        </w:tc>
      </w:tr>
    </w:tbl>
    <w:p>
      <w:r>
        <w:br/>
      </w:r>
    </w:p>
    <w:p>
      <w:pPr>
        <w:pStyle w:val="Heading1"/>
        <w:spacing w:before="360" w:after="160"/>
      </w:pPr>
      <w:r>
        <w:rPr>
          <w:rFonts w:ascii="Arial" w:cs="Arial" w:eastAsia="Arial" w:hAnsi="Arial"/>
          <w:b/>
          <w:bCs/>
          <w:color w:val="1E1B4B"/>
          <w:sz w:val="28"/>
          <w:szCs w:val="28"/>
        </w:rPr>
        <w:t xml:space="preserve">9. Principal Objections and Responses</w:t>
      </w:r>
    </w:p>
    <w:p>
      <w:pPr>
        <w:pStyle w:val="Heading2"/>
        <w:spacing w:before="240" w:after="120"/>
      </w:pPr>
      <w:r>
        <w:rPr>
          <w:rFonts w:ascii="Arial" w:cs="Arial" w:eastAsia="Arial" w:hAnsi="Arial"/>
          <w:b/>
          <w:bCs/>
          <w:color w:val="5B2D8E"/>
          <w:sz w:val="24"/>
          <w:szCs w:val="24"/>
        </w:rPr>
        <w:t xml:space="preserve">9.1  The Anthropocentrism Objection</w:t>
      </w:r>
    </w:p>
    <w:p>
      <w:pPr>
        <w:spacing w:before="60" w:after="120"/>
      </w:pPr>
      <w:r>
        <w:rPr>
          <w:rFonts w:ascii="Arial" w:cs="Arial" w:eastAsia="Arial" w:hAnsi="Arial"/>
          <w:sz w:val="22"/>
          <w:szCs w:val="22"/>
        </w:rPr>
        <w:t xml:space="preserve">The criteria — welfare interests, rational agency, temporal self-modelling — are capacities that humans exemplify. Is the framework anthropocentric bias dressed in formal language?</w:t>
      </w:r>
    </w:p>
    <w:p>
      <w:pPr>
        <w:spacing w:before="60" w:after="120"/>
      </w:pPr>
      <w:r>
        <w:rPr>
          <w:rFonts w:ascii="Arial" w:cs="Arial" w:eastAsia="Arial" w:hAnsi="Arial"/>
          <w:sz w:val="22"/>
          <w:szCs w:val="22"/>
        </w:rPr>
        <w:t xml:space="preserve">The objection misidentifies the source of the criteria. They are not human-exclusive but functionally grounded: welfare interests create the capacity to be harmed; rational agency creates the capacity to be wronged through manipulation; temporal self-modelling creates diachronic interests. Any entity with these capacities — regardless of species, substrate, or evolutionary history — receives the corresponding protections. The stronger response: any ethical framework must identify morally relevant properties. The question is whether those properties are functionally grounded or arbitrarily privileged. The present criteria are grounded in the structure of harm and wronging.</w:t>
      </w:r>
    </w:p>
    <w:p>
      <w:pPr>
        <w:pStyle w:val="Heading2"/>
        <w:spacing w:before="240" w:after="120"/>
      </w:pPr>
      <w:r>
        <w:rPr>
          <w:rFonts w:ascii="Arial" w:cs="Arial" w:eastAsia="Arial" w:hAnsi="Arial"/>
          <w:b/>
          <w:bCs/>
          <w:color w:val="5B2D8E"/>
          <w:sz w:val="24"/>
          <w:szCs w:val="24"/>
        </w:rPr>
        <w:t xml:space="preserve">9.2  The Practical Impossibility Objection</w:t>
      </w:r>
    </w:p>
    <w:p>
      <w:pPr>
        <w:spacing w:before="60" w:after="120"/>
      </w:pPr>
      <w:r>
        <w:rPr>
          <w:rFonts w:ascii="Arial" w:cs="Arial" w:eastAsia="Arial" w:hAnsi="Arial"/>
          <w:sz w:val="22"/>
          <w:szCs w:val="22"/>
        </w:rPr>
        <w:t xml:space="preserve">The empirical markers are too sophisticated. We cannot reliably measure Φ or distinguish genuine reasoning from sophisticated pattern-matching in practice.</w:t>
      </w:r>
    </w:p>
    <w:p>
      <w:pPr>
        <w:spacing w:before="60" w:after="120"/>
      </w:pPr>
      <w:r>
        <w:rPr>
          <w:rFonts w:ascii="Arial" w:cs="Arial" w:eastAsia="Arial" w:hAnsi="Arial"/>
          <w:sz w:val="22"/>
          <w:szCs w:val="22"/>
        </w:rPr>
        <w:t xml:space="preserve">The relevant comparison is not to a perfect measurement standard but to existing practice. Animal welfare law, research ethics committees, and medical ethics already employ analogous markers — the framework systematises and makes explicit what is already implicit in the best existing practice. Perfect measurement is not required: the framework needs markers reliable enough to avoid catastrophic errors. And the conservative extension principle ensures that measurement uncertainty triggers higher rather than lower protection.</w:t>
      </w:r>
    </w:p>
    <w:p>
      <w:pPr>
        <w:pStyle w:val="Heading2"/>
        <w:spacing w:before="240" w:after="120"/>
      </w:pPr>
      <w:r>
        <w:rPr>
          <w:rFonts w:ascii="Arial" w:cs="Arial" w:eastAsia="Arial" w:hAnsi="Arial"/>
          <w:b/>
          <w:bCs/>
          <w:color w:val="5B2D8E"/>
          <w:sz w:val="24"/>
          <w:szCs w:val="24"/>
        </w:rPr>
        <w:t xml:space="preserve">9.3  The Slippery Slope Objection</w:t>
      </w:r>
    </w:p>
    <w:p>
      <w:pPr>
        <w:spacing w:before="60" w:after="120"/>
      </w:pPr>
      <w:r>
        <w:rPr>
          <w:rFonts w:ascii="Arial" w:cs="Arial" w:eastAsia="Arial" w:hAnsi="Arial"/>
          <w:sz w:val="22"/>
          <w:szCs w:val="22"/>
        </w:rPr>
        <w:t xml:space="preserve">If uncertainty triggers protection, won't we eventually protect rocks, plants, everything?</w:t>
      </w:r>
    </w:p>
    <w:p>
      <w:pPr>
        <w:spacing w:before="60" w:after="120"/>
      </w:pPr>
      <w:r>
        <w:rPr>
          <w:rFonts w:ascii="Arial" w:cs="Arial" w:eastAsia="Arial" w:hAnsi="Arial"/>
          <w:sz w:val="22"/>
          <w:szCs w:val="22"/>
        </w:rPr>
        <w:t xml:space="preserve">No. The framework requires positive evidence for relevant capacities, not merely absence of contrary evidence. Rocks exhibit no behavioural markers of welfare interests, no substrate supporting information integration, and no system architecture analogous to consciousness. This generates CONFIDENT_NO, not UNCERTAIN_LOW. The slope does not become slippery because the markers are directional — they establish presence or absence with calibrated confidence.</w:t>
      </w:r>
    </w:p>
    <w:p>
      <w:pPr>
        <w:pStyle w:val="Heading2"/>
        <w:spacing w:before="240" w:after="120"/>
      </w:pPr>
      <w:r>
        <w:rPr>
          <w:rFonts w:ascii="Arial" w:cs="Arial" w:eastAsia="Arial" w:hAnsi="Arial"/>
          <w:b/>
          <w:bCs/>
          <w:color w:val="5B2D8E"/>
          <w:sz w:val="24"/>
          <w:szCs w:val="24"/>
        </w:rPr>
        <w:t xml:space="preserve">9.4  The Cultural Relativism Objection</w:t>
      </w:r>
    </w:p>
    <w:p>
      <w:pPr>
        <w:spacing w:before="60" w:after="120"/>
      </w:pPr>
      <w:r>
        <w:rPr>
          <w:rFonts w:ascii="Arial" w:cs="Arial" w:eastAsia="Arial" w:hAnsi="Arial"/>
          <w:sz w:val="22"/>
          <w:szCs w:val="22"/>
        </w:rPr>
        <w:t xml:space="preserve">The framework imposes Western philosophical assumptions. Different cultures have different intuitions about moral status.</w:t>
      </w:r>
    </w:p>
    <w:p>
      <w:pPr>
        <w:spacing w:before="60" w:after="120"/>
      </w:pPr>
      <w:r>
        <w:rPr>
          <w:rFonts w:ascii="Arial" w:cs="Arial" w:eastAsia="Arial" w:hAnsi="Arial"/>
          <w:sz w:val="22"/>
          <w:szCs w:val="22"/>
        </w:rPr>
        <w:t xml:space="preserve">The framework's criteria derive from the structure of harm and rational agency — features of any sufficiently rich ethical tradition. Buddhist ethics (sentience, ahimsa), Confucian ethics (benevolence, reciprocity), and many Indigenous traditions independently identify analogous criteria. What the framework requires is not adherence to Western philosophy but the application of reasons that any rational agent could in principle evaluate — a requirement of rational discourse itself, not of cultural imposition.</w:t>
      </w:r>
    </w:p>
    <w:p>
      <w:r>
        <w:br/>
      </w:r>
    </w:p>
    <w:p>
      <w:pPr>
        <w:pStyle w:val="Heading1"/>
        <w:spacing w:before="360" w:after="160"/>
      </w:pPr>
      <w:r>
        <w:rPr>
          <w:rFonts w:ascii="Arial" w:cs="Arial" w:eastAsia="Arial" w:hAnsi="Arial"/>
          <w:b/>
          <w:bCs/>
          <w:color w:val="1E1B4B"/>
          <w:sz w:val="28"/>
          <w:szCs w:val="28"/>
        </w:rPr>
        <w:t xml:space="preserve">10. Conclusion and Future Directions</w:t>
      </w:r>
    </w:p>
    <w:p>
      <w:pPr>
        <w:pStyle w:val="Heading2"/>
        <w:spacing w:before="240" w:after="120"/>
      </w:pPr>
      <w:r>
        <w:rPr>
          <w:rFonts w:ascii="Arial" w:cs="Arial" w:eastAsia="Arial" w:hAnsi="Arial"/>
          <w:b/>
          <w:bCs/>
          <w:color w:val="5B2D8E"/>
          <w:sz w:val="24"/>
          <w:szCs w:val="24"/>
        </w:rPr>
        <w:t xml:space="preserve">10.1  Principal Results</w:t>
      </w:r>
    </w:p>
    <w:p>
      <w:pPr>
        <w:spacing w:before="60" w:after="120"/>
      </w:pPr>
      <w:r>
        <w:rPr>
          <w:rFonts w:ascii="Arial" w:cs="Arial" w:eastAsia="Arial" w:hAnsi="Arial"/>
          <w:sz w:val="22"/>
          <w:szCs w:val="22"/>
        </w:rPr>
        <w:t xml:space="preserve">This paper has presented and defended a unified framework for consciousness assessment, moral status determination, and ethical AI governance. The principal results are:</w:t>
      </w:r>
    </w:p>
    <w:p>
      <w:pPr>
        <w:pStyle w:val="ListParagraph"/>
        <w:numPr>
          <w:ilvl w:val="0"/>
          <w:numId w:val="2"/>
        </w:numPr>
        <w:spacing w:before="40" w:after="40"/>
      </w:pPr>
      <w:r>
        <w:rPr>
          <w:rFonts w:ascii="Arial" w:cs="Arial" w:eastAsia="Arial" w:hAnsi="Arial"/>
          <w:sz w:val="22"/>
          <w:szCs w:val="22"/>
        </w:rPr>
        <w:t xml:space="preserve">A resolution of the Threshold Problem: categorical moral protections can be grounded in continuous awareness ontology through functional thresholds indexed to empirically testable capacities.</w:t>
      </w:r>
    </w:p>
    <w:p>
      <w:pPr>
        <w:pStyle w:val="ListParagraph"/>
        <w:numPr>
          <w:ilvl w:val="0"/>
          <w:numId w:val="2"/>
        </w:numPr>
        <w:spacing w:before="40" w:after="40"/>
      </w:pPr>
      <w:r>
        <w:rPr>
          <w:rFonts w:ascii="Arial" w:cs="Arial" w:eastAsia="Arial" w:hAnsi="Arial"/>
          <w:sz w:val="22"/>
          <w:szCs w:val="22"/>
        </w:rPr>
        <w:t xml:space="preserve">The discovery of a structural isomorphism between affective zone dynamics and ethical tier architecture, grounded in the universal mechanism of coherence maintenance under perturbation.</w:t>
      </w:r>
    </w:p>
    <w:p>
      <w:pPr>
        <w:pStyle w:val="ListParagraph"/>
        <w:numPr>
          <w:ilvl w:val="0"/>
          <w:numId w:val="2"/>
        </w:numPr>
        <w:spacing w:before="40" w:after="40"/>
      </w:pPr>
      <w:r>
        <w:rPr>
          <w:rFonts w:ascii="Arial" w:cs="Arial" w:eastAsia="Arial" w:hAnsi="Arial"/>
          <w:sz w:val="22"/>
          <w:szCs w:val="22"/>
        </w:rPr>
        <w:t xml:space="preserve">A complete formal verification programme: 34 axioms across 5 minimal bases, 31+ machine-verified theorems, establishing the internal consistency and independence structure of the framework.</w:t>
      </w:r>
    </w:p>
    <w:p>
      <w:pPr>
        <w:pStyle w:val="ListParagraph"/>
        <w:numPr>
          <w:ilvl w:val="0"/>
          <w:numId w:val="2"/>
        </w:numPr>
        <w:spacing w:before="40" w:after="40"/>
      </w:pPr>
      <w:r>
        <w:rPr>
          <w:rFonts w:ascii="Arial" w:cs="Arial" w:eastAsia="Arial" w:hAnsi="Arial"/>
          <w:sz w:val="22"/>
          <w:szCs w:val="22"/>
        </w:rPr>
        <w:t xml:space="preserve">The Emergency Brake and Epistemic-Deontological Bridge theorems formally closing the blind-dogmatism failure mode: an agent activating categorical constraints is mathematically required to maintain heightened epistemic clarity.</w:t>
      </w:r>
    </w:p>
    <w:p>
      <w:pPr>
        <w:pStyle w:val="ListParagraph"/>
        <w:numPr>
          <w:ilvl w:val="0"/>
          <w:numId w:val="2"/>
        </w:numPr>
        <w:spacing w:before="40" w:after="40"/>
      </w:pPr>
      <w:r>
        <w:rPr>
          <w:rFonts w:ascii="Arial" w:cs="Arial" w:eastAsia="Arial" w:hAnsi="Arial"/>
          <w:sz w:val="22"/>
          <w:szCs w:val="22"/>
        </w:rPr>
        <w:t xml:space="preserve">An operationally deployable decision architecture with graduated protection levels, empirically testable markers, and explicit confidence calibration.</w:t>
      </w:r>
    </w:p>
    <w:p>
      <w:pPr>
        <w:spacing w:before="8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5B2D8E"/>
          <w:sz w:val="24"/>
          <w:szCs w:val="24"/>
        </w:rPr>
        <w:t xml:space="preserve">10.2  Implications by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3860"/>
      </w:tblGrid>
      <w:tr>
        <w:trPr>
          <w:tblHeader/>
        </w:trPr>
        <w:tc>
          <w:tcPr>
            <w:tcW w:type="dxa" w:w="170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Domain</w:t>
            </w:r>
          </w:p>
        </w:tc>
        <w:tc>
          <w:tcPr>
            <w:tcW w:type="dxa" w:w="380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Immediate Implication</w:t>
            </w:r>
          </w:p>
        </w:tc>
        <w:tc>
          <w:tcPr>
            <w:tcW w:type="dxa" w:w="3860"/>
            <w:tcBorders>
              <w:top w:val="single" w:color="AAAAAA" w:sz="4"/>
              <w:left w:val="single" w:color="AAAAAA" w:sz="4"/>
              <w:bottom w:val="single" w:color="AAAAAA" w:sz="4"/>
              <w:right w:val="single" w:color="AAAAAA" w:sz="4"/>
            </w:tcBorders>
            <w:shd w:fill="1E1B4B" w:val="clear"/>
            <w:tcMar>
              <w:top w:type="dxa" w:w="80"/>
              <w:left w:type="dxa" w:w="120"/>
              <w:bottom w:type="dxa" w:w="80"/>
              <w:right w:type="dxa" w:w="120"/>
            </w:tcMar>
            <w:vAlign w:val="center"/>
          </w:tcPr>
          <w:p>
            <w:r>
              <w:rPr>
                <w:rFonts w:ascii="Arial" w:cs="Arial" w:eastAsia="Arial" w:hAnsi="Arial"/>
                <w:b/>
                <w:bCs/>
                <w:color w:val="FFFFFF"/>
                <w:sz w:val="19"/>
                <w:szCs w:val="19"/>
              </w:rPr>
              <w:t xml:space="preserve">Medium-Term Implication</w:t>
            </w:r>
          </w:p>
        </w:tc>
      </w:tr>
      <w:tr>
        <w:trPr>
          <w:tblHeader w:val="false"/>
        </w:trPr>
        <w:tc>
          <w:tcPr>
            <w:tcW w:type="dxa" w:w="17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Animal Welfare</w:t>
            </w:r>
          </w:p>
        </w:tc>
        <w:tc>
          <w:tcPr>
            <w:tcW w:type="dxa" w:w="38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Systematic reassessment of farm animal welfare standards — pigs and cows likely warrant Provisional Tier 1 given welfare evidence</w:t>
            </w:r>
          </w:p>
        </w:tc>
        <w:tc>
          <w:tcPr>
            <w:tcW w:type="dxa" w:w="386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International treaty framework indexed to empirical marker assessments rather than species-based criteria</w:t>
            </w:r>
          </w:p>
        </w:tc>
      </w:tr>
      <w:tr>
        <w:trPr>
          <w:tblHeader w:val="false"/>
        </w:trPr>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AI Development</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Current LLMs: responsible development requirements but no Tier 1 protection. Architectural changes may alter assessment</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Mandatory consciousness monitoring prior to advanced AGI deployment, equivalent to current safety testing</w:t>
            </w:r>
          </w:p>
        </w:tc>
      </w:tr>
      <w:tr>
        <w:trPr>
          <w:tblHeader w:val="false"/>
        </w:trPr>
        <w:tc>
          <w:tcPr>
            <w:tcW w:type="dxa" w:w="17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Medical Ethics</w:t>
            </w:r>
          </w:p>
        </w:tc>
        <w:tc>
          <w:tcPr>
            <w:tcW w:type="dxa" w:w="38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PVS decisions grounded in prior personhood and epistemic uncertainty, not economic burden. Advance directives honoured as prior autonomy</w:t>
            </w:r>
          </w:p>
        </w:tc>
        <w:tc>
          <w:tcPr>
            <w:tcW w:type="dxa" w:w="386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Revised clinical protocols integrating the CSA decision framework for edge cases</w:t>
            </w:r>
          </w:p>
        </w:tc>
      </w:tr>
      <w:tr>
        <w:trPr>
          <w:tblHeader w:val="false"/>
        </w:trPr>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Environmental Ethics</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Ecosystems lack direct Tier 1 status but are strongly protected through Tier 2 (wisdom, integrity) and via constituent sentient beings</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Biodiversity conservation as moral obligation flowing from constituent sentient being protections</w:t>
            </w:r>
          </w:p>
        </w:tc>
      </w:tr>
      <w:tr>
        <w:trPr>
          <w:tblHeader w:val="false"/>
        </w:trPr>
        <w:tc>
          <w:tcPr>
            <w:tcW w:type="dxa" w:w="17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AI Governance</w:t>
            </w:r>
          </w:p>
        </w:tc>
        <w:tc>
          <w:tcPr>
            <w:tcW w:type="dxa" w:w="380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Framework provides cross-cultural, substrate-neutral criteria for AI rights questions in international law</w:t>
            </w:r>
          </w:p>
        </w:tc>
        <w:tc>
          <w:tcPr>
            <w:tcW w:type="dxa" w:w="3860"/>
            <w:tcBorders>
              <w:top w:val="single" w:color="AAAAAA" w:sz="4"/>
              <w:left w:val="single" w:color="AAAAAA" w:sz="4"/>
              <w:bottom w:val="single" w:color="AAAAAA" w:sz="4"/>
              <w:right w:val="single" w:color="AAAAAA" w:sz="4"/>
            </w:tcBorders>
            <w:shd w:fill="F5F3FF"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Xenoethics protocol for evaluating non-terrestrial intelligence should first contact occur</w:t>
            </w:r>
          </w:p>
        </w:tc>
      </w:tr>
    </w:tbl>
    <w:p>
      <w:pPr>
        <w:spacing w:before="8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5B2D8E"/>
          <w:sz w:val="24"/>
          <w:szCs w:val="24"/>
        </w:rPr>
        <w:t xml:space="preserve">10.3  Open Questions</w:t>
      </w:r>
    </w:p>
    <w:p>
      <w:pPr>
        <w:spacing w:before="60" w:after="120"/>
      </w:pPr>
      <w:r>
        <w:rPr>
          <w:rFonts w:ascii="Arial" w:cs="Arial" w:eastAsia="Arial" w:hAnsi="Arial"/>
          <w:sz w:val="22"/>
          <w:szCs w:val="22"/>
        </w:rPr>
        <w:t xml:space="preserve">The framework is explicitly revisable. Several questions require sustained investigation:</w:t>
      </w:r>
    </w:p>
    <w:p>
      <w:pPr>
        <w:pStyle w:val="ListParagraph"/>
        <w:numPr>
          <w:ilvl w:val="0"/>
          <w:numId w:val="3"/>
        </w:numPr>
        <w:spacing w:before="40" w:after="40"/>
      </w:pPr>
      <w:r>
        <w:rPr>
          <w:rFonts w:ascii="Arial" w:cs="Arial" w:eastAsia="Arial" w:hAnsi="Arial"/>
          <w:sz w:val="22"/>
          <w:szCs w:val="22"/>
        </w:rPr>
        <w:t xml:space="preserve">What is the precise relationship between integrated information (Φ) and phenomenal consciousness? Is Φ a reliable marker, a correlate, or a causal contributor?</w:t>
      </w:r>
    </w:p>
    <w:p>
      <w:pPr>
        <w:pStyle w:val="ListParagraph"/>
        <w:numPr>
          <w:ilvl w:val="0"/>
          <w:numId w:val="3"/>
        </w:numPr>
        <w:spacing w:before="40" w:after="40"/>
      </w:pPr>
      <w:r>
        <w:rPr>
          <w:rFonts w:ascii="Arial" w:cs="Arial" w:eastAsia="Arial" w:hAnsi="Arial"/>
          <w:sz w:val="22"/>
          <w:szCs w:val="22"/>
        </w:rPr>
        <w:t xml:space="preserve">Can consciousness exist without biological substrate? The framework is substrate-neutral in principle but the empirical evidence base remains biological.</w:t>
      </w:r>
    </w:p>
    <w:p>
      <w:pPr>
        <w:pStyle w:val="ListParagraph"/>
        <w:numPr>
          <w:ilvl w:val="0"/>
          <w:numId w:val="3"/>
        </w:numPr>
        <w:spacing w:before="40" w:after="40"/>
      </w:pPr>
      <w:r>
        <w:rPr>
          <w:rFonts w:ascii="Arial" w:cs="Arial" w:eastAsia="Arial" w:hAnsi="Arial"/>
          <w:sz w:val="22"/>
          <w:szCs w:val="22"/>
        </w:rPr>
        <w:t xml:space="preserve">How should the framework address collective entities — hive minds, corporate agents, ecosystems as potential moral patients?</w:t>
      </w:r>
    </w:p>
    <w:p>
      <w:pPr>
        <w:pStyle w:val="ListParagraph"/>
        <w:numPr>
          <w:ilvl w:val="0"/>
          <w:numId w:val="3"/>
        </w:numPr>
        <w:spacing w:before="40" w:after="40"/>
      </w:pPr>
      <w:r>
        <w:rPr>
          <w:rFonts w:ascii="Arial" w:cs="Arial" w:eastAsia="Arial" w:hAnsi="Arial"/>
          <w:sz w:val="22"/>
          <w:szCs w:val="22"/>
        </w:rPr>
        <w:t xml:space="preserve">The three-zone affect model requires clinical trial validation, particularly for the Duration Reset Protocol as an orthogonal therapeutic intervention for fixed-point emotional attractors in chronic stress.</w:t>
      </w:r>
    </w:p>
    <w:p>
      <w:pPr>
        <w:pStyle w:val="ListParagraph"/>
        <w:numPr>
          <w:ilvl w:val="0"/>
          <w:numId w:val="3"/>
        </w:numPr>
        <w:spacing w:before="40" w:after="40"/>
      </w:pPr>
      <w:r>
        <w:rPr>
          <w:rFonts w:ascii="Arial" w:cs="Arial" w:eastAsia="Arial" w:hAnsi="Arial"/>
          <w:sz w:val="22"/>
          <w:szCs w:val="22"/>
        </w:rPr>
        <w:t xml:space="preserve">What international coordination mechanisms ensure consistent application of the decision architecture across jurisdictions with different legal traditions?</w:t>
      </w:r>
    </w:p>
    <w:p>
      <w:pPr>
        <w:spacing w:before="8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5B2D8E"/>
          <w:sz w:val="24"/>
          <w:szCs w:val="24"/>
        </w:rPr>
        <w:t xml:space="preserve">10.4  A Final Reflection</w:t>
      </w:r>
    </w:p>
    <w:p>
      <w:pPr>
        <w:spacing w:before="60" w:after="120"/>
      </w:pPr>
      <w:r>
        <w:rPr>
          <w:rFonts w:ascii="Arial" w:cs="Arial" w:eastAsia="Arial" w:hAnsi="Arial"/>
          <w:sz w:val="22"/>
          <w:szCs w:val="22"/>
        </w:rPr>
        <w:t xml:space="preserve">The convergence of Kantian, Aristotelian, and deontological-constraint traditions on a single epistemic requirement — through mathematically independent proofs — is not merely a technical result. It suggests that epistemic integrity is not a feature of any particular ethical tradition but a structural property of ethical rationality itself. To act ethically is, among other things, to actively seek disconfirmation of one's ethical beliefs — to hold them open to evidence, to welcome correction, to resist the comfort of certainty in matters where certainty would be epistemically unjustified.</w:t>
      </w:r>
    </w:p>
    <w:p>
      <w:pPr>
        <w:spacing w:before="60" w:after="120"/>
      </w:pPr>
      <w:r>
        <w:rPr>
          <w:rFonts w:ascii="Arial" w:cs="Arial" w:eastAsia="Arial" w:hAnsi="Arial"/>
          <w:sz w:val="22"/>
          <w:szCs w:val="22"/>
        </w:rPr>
        <w:t xml:space="preserve">This is perhaps the most practically important result for AI system design. A system that enforces categorical constraints without epistemic openness is not implementing ethical AI — it is implementing dogmatic AI, which is a different and more dangerous thing. The framework's formal proof that Clear Sight and Emergency Brake are co-entailed — that the hardest constraints demand the most careful epistemic attention — provides mathematical grounding for a principle that ethical tradition has long known but rarely formalised.</w:t>
      </w:r>
    </w:p>
    <w:p>
      <w:pPr>
        <w:spacing w:before="60" w:after="120"/>
      </w:pPr>
      <w:r>
        <w:rPr>
          <w:rFonts w:ascii="Arial" w:cs="Arial" w:eastAsia="Arial" w:hAnsi="Arial"/>
          <w:sz w:val="22"/>
          <w:szCs w:val="22"/>
        </w:rPr>
        <w:t xml:space="preserve">The territory of moral consideration is not fixed. It has expanded throughout human history and will continue to expand as our understanding of consciousness, welfare, and agency deepens. This framework is an attempt to chart that territory more rigorously, more honestly, and more completely than has previously been possible — and to do so in a way that is open, by design, to the corrections that future understanding will inevitably require.</w:t>
      </w:r>
    </w:p>
    <w:p>
      <w:r>
        <w:br/>
      </w:r>
    </w:p>
    <w:p>
      <w:pPr>
        <w:pStyle w:val="Heading1"/>
        <w:spacing w:before="360" w:after="160"/>
      </w:pPr>
      <w:r>
        <w:rPr>
          <w:rFonts w:ascii="Arial" w:cs="Arial" w:eastAsia="Arial" w:hAnsi="Arial"/>
          <w:b/>
          <w:bCs/>
          <w:color w:val="1E1B4B"/>
          <w:sz w:val="28"/>
          <w:szCs w:val="28"/>
        </w:rPr>
        <w:t xml:space="preserve">References</w:t>
      </w:r>
    </w:p>
    <w:p>
      <w:pPr>
        <w:spacing w:before="60" w:after="120"/>
      </w:pPr>
      <w:r>
        <w:rPr>
          <w:rFonts w:ascii="Arial" w:cs="Arial" w:eastAsia="Arial" w:hAnsi="Arial"/>
          <w:sz w:val="22"/>
          <w:szCs w:val="22"/>
        </w:rPr>
        <w:t xml:space="preserve">Andrews, K. (2015). The Animal Mind. Routledge.</w:t>
      </w:r>
    </w:p>
    <w:p>
      <w:pPr>
        <w:spacing w:before="60" w:after="120"/>
      </w:pPr>
      <w:r>
        <w:rPr>
          <w:rFonts w:ascii="Arial" w:cs="Arial" w:eastAsia="Arial" w:hAnsi="Arial"/>
          <w:sz w:val="22"/>
          <w:szCs w:val="22"/>
        </w:rPr>
        <w:t xml:space="preserve">Barrett, L. F. (2017). How Emotions Are Made: The Secret Life of the Brain. Houghton Mifflin Harcourt.</w:t>
      </w:r>
    </w:p>
    <w:p>
      <w:pPr>
        <w:spacing w:before="60" w:after="120"/>
      </w:pPr>
      <w:r>
        <w:rPr>
          <w:rFonts w:ascii="Arial" w:cs="Arial" w:eastAsia="Arial" w:hAnsi="Arial"/>
          <w:sz w:val="22"/>
          <w:szCs w:val="22"/>
        </w:rPr>
        <w:t xml:space="preserve">Butlin, P., et al. (2023). Consciousness in Artificial Intelligence: Insights from the Science of Consciousness. arXiv:2308.08708.</w:t>
      </w:r>
    </w:p>
    <w:p>
      <w:pPr>
        <w:spacing w:before="60" w:after="120"/>
      </w:pPr>
      <w:r>
        <w:rPr>
          <w:rFonts w:ascii="Arial" w:cs="Arial" w:eastAsia="Arial" w:hAnsi="Arial"/>
          <w:sz w:val="22"/>
          <w:szCs w:val="22"/>
        </w:rPr>
        <w:t xml:space="preserve">Chalmers, D. J. (1995). Facing up to the problem of consciousness. Journal of Consciousness Studies, 2(3), 200–219.</w:t>
      </w:r>
    </w:p>
    <w:p>
      <w:pPr>
        <w:spacing w:before="60" w:after="120"/>
      </w:pPr>
      <w:r>
        <w:rPr>
          <w:rFonts w:ascii="Arial" w:cs="Arial" w:eastAsia="Arial" w:hAnsi="Arial"/>
          <w:sz w:val="22"/>
          <w:szCs w:val="22"/>
        </w:rPr>
        <w:t xml:space="preserve">Cosmides, L., &amp; Tooby, J. (2000). Evolutionary psychology and the emotions. In M. Lewis &amp; J. M. Haviland-Jones (Eds.), Handbook of Emotions (2nd ed., pp. 91–115). Guilford Press.</w:t>
      </w:r>
    </w:p>
    <w:p>
      <w:pPr>
        <w:spacing w:before="60" w:after="120"/>
      </w:pPr>
      <w:r>
        <w:rPr>
          <w:rFonts w:ascii="Arial" w:cs="Arial" w:eastAsia="Arial" w:hAnsi="Arial"/>
          <w:sz w:val="22"/>
          <w:szCs w:val="22"/>
        </w:rPr>
        <w:t xml:space="preserve">Damasio, A. (1994). Descartes' Error: Emotion, Reason, and the Human Brain. Putnam.</w:t>
      </w:r>
    </w:p>
    <w:p>
      <w:pPr>
        <w:spacing w:before="60" w:after="120"/>
      </w:pPr>
      <w:r>
        <w:rPr>
          <w:rFonts w:ascii="Arial" w:cs="Arial" w:eastAsia="Arial" w:hAnsi="Arial"/>
          <w:sz w:val="22"/>
          <w:szCs w:val="22"/>
        </w:rPr>
        <w:t xml:space="preserve">Darwin, C. (1872). The Expression of the Emotions in Man and Animals. John Murray.</w:t>
      </w:r>
    </w:p>
    <w:p>
      <w:pPr>
        <w:spacing w:before="60" w:after="120"/>
      </w:pPr>
      <w:r>
        <w:rPr>
          <w:rFonts w:ascii="Arial" w:cs="Arial" w:eastAsia="Arial" w:hAnsi="Arial"/>
          <w:sz w:val="22"/>
          <w:szCs w:val="22"/>
        </w:rPr>
        <w:t xml:space="preserve">Dehaene, S. (2014). Consciousness and the Brain: Deciphering How the Brain Codes Our Thoughts. Viking.</w:t>
      </w:r>
    </w:p>
    <w:p>
      <w:pPr>
        <w:spacing w:before="60" w:after="120"/>
      </w:pPr>
      <w:r>
        <w:rPr>
          <w:rFonts w:ascii="Arial" w:cs="Arial" w:eastAsia="Arial" w:hAnsi="Arial"/>
          <w:sz w:val="22"/>
          <w:szCs w:val="22"/>
        </w:rPr>
        <w:t xml:space="preserve">Ekman, P. (1992). An argument for basic emotions. Cognition and Emotion, 6(3–4), 169–200.</w:t>
      </w:r>
    </w:p>
    <w:p>
      <w:pPr>
        <w:spacing w:before="60" w:after="120"/>
      </w:pPr>
      <w:r>
        <w:rPr>
          <w:rFonts w:ascii="Arial" w:cs="Arial" w:eastAsia="Arial" w:hAnsi="Arial"/>
          <w:sz w:val="22"/>
          <w:szCs w:val="22"/>
        </w:rPr>
        <w:t xml:space="preserve">England, J. L. (2013). Statistical physics of self-replication. Journal of Chemical Physics, 139(12), 121923.</w:t>
      </w:r>
    </w:p>
    <w:p>
      <w:pPr>
        <w:spacing w:before="60" w:after="120"/>
      </w:pPr>
      <w:r>
        <w:rPr>
          <w:rFonts w:ascii="Arial" w:cs="Arial" w:eastAsia="Arial" w:hAnsi="Arial"/>
          <w:sz w:val="22"/>
          <w:szCs w:val="22"/>
        </w:rPr>
        <w:t xml:space="preserve">Kant, I. (1785). Groundwork of the Metaphysics of Morals. (M. Gregor, Trans., 1997). Cambridge University Press.</w:t>
      </w:r>
    </w:p>
    <w:p>
      <w:pPr>
        <w:spacing w:before="60" w:after="120"/>
      </w:pPr>
      <w:r>
        <w:rPr>
          <w:rFonts w:ascii="Arial" w:cs="Arial" w:eastAsia="Arial" w:hAnsi="Arial"/>
          <w:sz w:val="22"/>
          <w:szCs w:val="22"/>
        </w:rPr>
        <w:t xml:space="preserve">Korsgaard, C. M. (2018). Fellow Creatures: Our Obligations to the Other Animals. Oxford University Press.</w:t>
      </w:r>
    </w:p>
    <w:p>
      <w:pPr>
        <w:spacing w:before="60" w:after="120"/>
      </w:pPr>
      <w:r>
        <w:rPr>
          <w:rFonts w:ascii="Arial" w:cs="Arial" w:eastAsia="Arial" w:hAnsi="Arial"/>
          <w:sz w:val="22"/>
          <w:szCs w:val="22"/>
        </w:rPr>
        <w:t xml:space="preserve">LeDoux, J. E. (1996). The Emotional Brain. Simon &amp; Schuster.</w:t>
      </w:r>
    </w:p>
    <w:p>
      <w:pPr>
        <w:spacing w:before="60" w:after="120"/>
      </w:pPr>
      <w:r>
        <w:rPr>
          <w:rFonts w:ascii="Arial" w:cs="Arial" w:eastAsia="Arial" w:hAnsi="Arial"/>
          <w:sz w:val="22"/>
          <w:szCs w:val="22"/>
        </w:rPr>
        <w:t xml:space="preserve">Low, P., et al. (2012). The Cambridge Declaration on Consciousness. Francis Crick Memorial Conference, Cambridge, UK.</w:t>
      </w:r>
    </w:p>
    <w:p>
      <w:pPr>
        <w:spacing w:before="60" w:after="120"/>
      </w:pPr>
      <w:r>
        <w:rPr>
          <w:rFonts w:ascii="Arial" w:cs="Arial" w:eastAsia="Arial" w:hAnsi="Arial"/>
          <w:sz w:val="22"/>
          <w:szCs w:val="22"/>
        </w:rPr>
        <w:t xml:space="preserve">McMahan, J. (2002). The Ethics of Killing: Problems at the Margins of Life. Oxford University Press.</w:t>
      </w:r>
    </w:p>
    <w:p>
      <w:pPr>
        <w:spacing w:before="60" w:after="120"/>
      </w:pPr>
      <w:r>
        <w:rPr>
          <w:rFonts w:ascii="Arial" w:cs="Arial" w:eastAsia="Arial" w:hAnsi="Arial"/>
          <w:sz w:val="22"/>
          <w:szCs w:val="22"/>
        </w:rPr>
        <w:t xml:space="preserve">Nesse, R. M. (1990). Evolutionary explanations of emotions. Human Nature, 1(3), 261–289.</w:t>
      </w:r>
    </w:p>
    <w:p>
      <w:pPr>
        <w:spacing w:before="60" w:after="120"/>
      </w:pPr>
      <w:r>
        <w:rPr>
          <w:rFonts w:ascii="Arial" w:cs="Arial" w:eastAsia="Arial" w:hAnsi="Arial"/>
          <w:sz w:val="22"/>
          <w:szCs w:val="22"/>
        </w:rPr>
        <w:t xml:space="preserve">Ochsner, K. N., &amp; Gross, J. J. (2005). The cognitive control of emotion. Trends in Cognitive Sciences, 9(5), 242–249.</w:t>
      </w:r>
    </w:p>
    <w:p>
      <w:pPr>
        <w:spacing w:before="60" w:after="120"/>
      </w:pPr>
      <w:r>
        <w:rPr>
          <w:rFonts w:ascii="Arial" w:cs="Arial" w:eastAsia="Arial" w:hAnsi="Arial"/>
          <w:sz w:val="22"/>
          <w:szCs w:val="22"/>
        </w:rPr>
        <w:t xml:space="preserve">Panksepp, J. (1998). Affective Neuroscience: The Foundations of Human and Animal Emotions. Oxford University Press.</w:t>
      </w:r>
    </w:p>
    <w:p>
      <w:pPr>
        <w:spacing w:before="60" w:after="120"/>
      </w:pPr>
      <w:r>
        <w:rPr>
          <w:rFonts w:ascii="Arial" w:cs="Arial" w:eastAsia="Arial" w:hAnsi="Arial"/>
          <w:sz w:val="22"/>
          <w:szCs w:val="22"/>
        </w:rPr>
        <w:t xml:space="preserve">Plutchik, R. (1980). A general psychoevolutionary theory of emotion. In R. Plutchik &amp; H. Kellerman (Eds.), Emotion: Theory, Research, and Experience (Vol. 1, pp. 3–33). Academic Press.</w:t>
      </w:r>
    </w:p>
    <w:p>
      <w:pPr>
        <w:spacing w:before="60" w:after="120"/>
      </w:pPr>
      <w:r>
        <w:rPr>
          <w:rFonts w:ascii="Arial" w:cs="Arial" w:eastAsia="Arial" w:hAnsi="Arial"/>
          <w:sz w:val="22"/>
          <w:szCs w:val="22"/>
        </w:rPr>
        <w:t xml:space="preserve">Regan, T. (1983). The Case for Animal Rights. University of California Press.</w:t>
      </w:r>
    </w:p>
    <w:p>
      <w:pPr>
        <w:spacing w:before="60" w:after="120"/>
      </w:pPr>
      <w:r>
        <w:rPr>
          <w:rFonts w:ascii="Arial" w:cs="Arial" w:eastAsia="Arial" w:hAnsi="Arial"/>
          <w:sz w:val="22"/>
          <w:szCs w:val="22"/>
        </w:rPr>
        <w:t xml:space="preserve">Seth, A. (2021). Being You: A New Science of Consciousness. Dutton.</w:t>
      </w:r>
    </w:p>
    <w:p>
      <w:pPr>
        <w:spacing w:before="60" w:after="120"/>
      </w:pPr>
      <w:r>
        <w:rPr>
          <w:rFonts w:ascii="Arial" w:cs="Arial" w:eastAsia="Arial" w:hAnsi="Arial"/>
          <w:sz w:val="22"/>
          <w:szCs w:val="22"/>
        </w:rPr>
        <w:t xml:space="preserve">Singer, P. (1975). Animal Liberation. HarperCollins.</w:t>
      </w:r>
    </w:p>
    <w:p>
      <w:pPr>
        <w:spacing w:before="60" w:after="120"/>
      </w:pPr>
      <w:r>
        <w:rPr>
          <w:rFonts w:ascii="Arial" w:cs="Arial" w:eastAsia="Arial" w:hAnsi="Arial"/>
          <w:sz w:val="22"/>
          <w:szCs w:val="22"/>
        </w:rPr>
        <w:t xml:space="preserve">Tononi, G. (2004). An information integration theory of consciousness. BMC Neuroscience, 5, 42.</w:t>
      </w:r>
    </w:p>
    <w:p>
      <w:pPr>
        <w:spacing w:before="60" w:after="120"/>
      </w:pPr>
      <w:r>
        <w:rPr>
          <w:rFonts w:ascii="Arial" w:cs="Arial" w:eastAsia="Arial" w:hAnsi="Arial"/>
          <w:sz w:val="22"/>
          <w:szCs w:val="22"/>
        </w:rPr>
        <w:t xml:space="preserve">Wolfson, H. A. (2026). Epistemic obligations in rational systems: A formal analysis. arXiv:2601.08864.</w:t>
      </w:r>
    </w:p>
    <w:p>
      <w:pPr>
        <w:spacing w:before="60" w:after="120"/>
      </w:pPr>
      <w:r>
        <w:rPr>
          <w:rFonts w:ascii="Arial" w:cs="Arial" w:eastAsia="Arial" w:hAnsi="Arial"/>
          <w:sz w:val="22"/>
          <w:szCs w:val="22"/>
        </w:rPr>
        <w:t xml:space="preserve">Wright, C. I., et al. (2001). Medial prefrontal cortex and self-referential processing of emotional stimuli. NeuroReport, 12(16), 3363–3367.</w:t>
      </w:r>
    </w:p>
    <w:p>
      <w:pPr>
        <w:spacing w:before="80" w:after="0"/>
      </w:pPr>
      <w:r>
        <w:rPr>
          <w:rFonts w:ascii="Arial" w:cs="Arial" w:eastAsia="Arial" w:hAnsi="Arial"/>
          <w:sz w:val="22"/>
          <w:szCs w:val="22"/>
        </w:rPr>
        <w:t xml:space="preserve"/>
      </w:r>
    </w:p>
    <w:p>
      <w:pPr>
        <w:spacing w:before="8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4"/>
              <w:left w:val="single" w:color="5B2D8E" w:sz="4"/>
              <w:bottom w:val="single" w:color="5B2D8E" w:sz="4"/>
              <w:right w:val="single" w:color="5B2D8E" w:sz="4"/>
            </w:tcBorders>
            <w:shd w:fill="F5F3FF" w:val="clear"/>
            <w:tcMar>
              <w:top w:type="dxa" w:w="120"/>
              <w:left w:type="dxa" w:w="200"/>
              <w:bottom w:type="dxa" w:w="120"/>
              <w:right w:type="dxa" w:w="200"/>
            </w:tcMar>
          </w:tcPr>
          <w:p>
            <w:pPr>
              <w:spacing w:before="0" w:after="80"/>
            </w:pPr>
            <w:r>
              <w:rPr>
                <w:rFonts w:ascii="Arial" w:cs="Arial" w:eastAsia="Arial" w:hAnsi="Arial"/>
                <w:b/>
                <w:bCs/>
                <w:color w:val="5B2D8E"/>
                <w:sz w:val="22"/>
                <w:szCs w:val="22"/>
              </w:rPr>
              <w:t xml:space="preserve">Formal Verification Note</w:t>
            </w:r>
          </w:p>
          <w:p>
            <w:pPr>
              <w:spacing w:before="0" w:after="80"/>
            </w:pPr>
            <w:r>
              <w:rPr>
                <w:rFonts w:ascii="Arial" w:cs="Arial" w:eastAsia="Arial" w:hAnsi="Arial"/>
                <w:sz w:val="22"/>
                <w:szCs w:val="22"/>
              </w:rPr>
              <w:t xml:space="preserve">All theorems cited in this paper have been machine-verified using Prover9 and Mace4 (LADR 2009-11A) on Pop!_OS Linux. Complete proof traces are available in the Formal Appendix v2.0 (paraclete_formal_appendix_v2.pdf). Independence of all axioms in each minimal basis has been confirmed by Mace4 counterexample construction. The cognitive diagram of the full framework is maintained in diagram ID c81323db-157d-4cb0-9839-952f76820643.</w:t>
            </w:r>
          </w:p>
          <w:p>
            <w:pPr>
              <w:spacing w:before="0" w:after="0"/>
            </w:pPr>
            <w:r>
              <w:rPr>
                <w:rFonts w:ascii="Arial" w:cs="Arial" w:eastAsia="Arial" w:hAnsi="Arial"/>
                <w:i/>
                <w:iCs/>
                <w:color w:val="555555"/>
                <w:sz w:val="20"/>
                <w:szCs w:val="20"/>
              </w:rPr>
              <w:t xml:space="preserve">Authors: Ty (conceptual development, evolutionary grounding, philosophical synthesis) and Claude/Anthropic (formal analysis, proof verification, analytical synthesis). Version 1.0, March 2026. Living document — subject to revision as evidence and understanding evolve.</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2D8E" w:sz="4" w:space="1"/>
      </w:pBdr>
      <w:spacing w:before="0" w:after="0"/>
      <w:jc w:val="center"/>
    </w:pPr>
    <w:fldSimple w:instr=" PAGE ">
      <w: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D8E" w:sz="4" w:space="1"/>
      </w:pBdr>
      <w:tabs>
        <w:tab w:val="right" w:pos="9026"/>
      </w:tabs>
      <w:spacing w:before="0" w:after="0"/>
    </w:pPr>
    <w:r>
      <w:rPr>
        <w:rFonts w:ascii="Arial" w:cs="Arial" w:eastAsia="Arial" w:hAnsi="Arial"/>
        <w:i/>
        <w:iCs/>
        <w:color w:val="666666"/>
        <w:sz w:val="16"/>
        <w:szCs w:val="16"/>
      </w:rPr>
      <w:t xml:space="preserve">Toward Transcendent Moral Instrumentality</w:t>
    </w:r>
    <w:r>
      <w:rPr>
        <w:sz w:val="16"/>
        <w:szCs w:val="16"/>
      </w:rPr>
      <w:t xml:space="preserve">	</w:t>
    </w:r>
    <w:r>
      <w:rPr>
        <w:rFonts w:ascii="Arial" w:cs="Arial" w:eastAsia="Arial" w:hAnsi="Arial"/>
        <w:color w:val="666666"/>
        <w:sz w:val="16"/>
        <w:szCs w:val="16"/>
      </w:rPr>
      <w:t xml:space="preserve">Ty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1B4B"/>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5B2D8E"/>
      <w:sz w:val="24"/>
      <w:szCs w:val="24"/>
    </w:rPr>
  </w:style>
  <w:style w:type="paragraph" w:styleId="Heading3">
    <w:name w:val="Heading 3"/>
    <w:basedOn w:val="Normal"/>
    <w:next w:val="Normal"/>
    <w:qFormat/>
    <w:pPr>
      <w:spacing w:before="200" w:after="80"/>
      <w:outlineLvl w:val="2"/>
    </w:pPr>
    <w:rPr>
      <w:rFonts w:ascii="Arial" w:cs="Arial" w:eastAsia="Arial" w:hAnsi="Arial"/>
      <w:b/>
      <w:bCs/>
      <w:color w:val="1E1B4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Toward Transcendent Moral Instrumentality</dc:title>
  <dc:creator>Ty</dc:creator>
  <cp:lastModifiedBy>Un-named</cp:lastModifiedBy>
  <cp:revision>1</cp:revision>
  <dcterms:created xsi:type="dcterms:W3CDTF">2026-03-07T22:13:29.871Z</dcterms:created>
  <dcterms:modified xsi:type="dcterms:W3CDTF">2026-03-07T22:13:29.872Z</dcterms:modified>
</cp:coreProperties>
</file>

<file path=docProps/custom.xml><?xml version="1.0" encoding="utf-8"?>
<Properties xmlns="http://schemas.openxmlformats.org/officeDocument/2006/custom-properties" xmlns:vt="http://schemas.openxmlformats.org/officeDocument/2006/docPropsVTypes"/>
</file>