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CFD10" w14:textId="77777777" w:rsidR="0018178A" w:rsidRPr="00C0173C" w:rsidRDefault="0018178A" w:rsidP="00C0173C">
      <w:pPr>
        <w:spacing w:after="0" w:line="240" w:lineRule="auto"/>
        <w:contextualSpacing/>
        <w:jc w:val="both"/>
        <w:rPr>
          <w:rFonts w:ascii="Times New Roman" w:hAnsi="Times New Roman" w:cs="Times New Roman"/>
          <w:b/>
          <w:bCs/>
          <w:color w:val="4472C4" w:themeColor="accent1"/>
          <w:sz w:val="40"/>
          <w:szCs w:val="40"/>
        </w:rPr>
      </w:pPr>
      <w:r w:rsidRPr="00C0173C">
        <w:rPr>
          <w:rFonts w:ascii="Times New Roman" w:hAnsi="Times New Roman" w:cs="Times New Roman" w:eastAsia="Times New Roman"/>
          <w:b/>
          <w:bCs/>
          <w:color w:val="4472C4"/>
          <w:sz w:val="40"/>
          <w:szCs w:val="40"/>
        </w:rPr>
        <w:t>NIST AI RMF Playbook</w:t>
      </w:r>
    </w:p>
    <w:p w14:paraId="252371C9" w14:textId="77777777" w:rsidR="0018178A" w:rsidRPr="00C0173C" w:rsidRDefault="0018178A" w:rsidP="00C0173C">
      <w:pPr>
        <w:spacing w:after="0" w:line="240" w:lineRule="auto"/>
        <w:contextualSpacing/>
        <w:jc w:val="both"/>
        <w:rPr>
          <w:rFonts w:ascii="Times New Roman" w:hAnsi="Times New Roman" w:cs="Times New Roman"/>
        </w:rPr>
      </w:pPr>
    </w:p>
    <w:p w14:paraId="2B595D66" w14:textId="77777777" w:rsidR="00C0173C" w:rsidRPr="00C0173C" w:rsidRDefault="00C0173C" w:rsidP="00C0173C">
      <w:pPr>
        <w:spacing w:after="0" w:line="240" w:lineRule="auto"/>
        <w:contextualSpacing/>
        <w:jc w:val="both"/>
        <w:rPr>
          <w:rFonts w:ascii="Times New Roman" w:hAnsi="Times New Roman" w:cs="Times New Roman"/>
        </w:rPr>
      </w:pPr>
      <w:r w:rsidRPr="00C0173C">
        <w:rPr>
          <w:rFonts w:ascii="Times New Roman" w:hAnsi="Times New Roman" w:cs="Times New Roman" w:eastAsia="Times New Roman"/>
          <w:color w:val="000000"/>
        </w:rPr>
        <w:t>The Playbook provides suggested actions for achieving the outcomes laid out in the </w:t>
      </w:r>
      <w:hyperlink r:id="rId6" w:history="1">
        <w:r w:rsidRPr="00C0173C">
          <w:rPr>
            <w:rStyle w:val="Hyperlink"/>
            <w:rFonts w:ascii="Times New Roman" w:hAnsi="Times New Roman" w:cs="Times New Roman"/>
          </w:rPr>
          <w:t>AI Risk Management Framework</w:t>
        </w:r>
      </w:hyperlink>
      <w:r w:rsidRPr="00C0173C">
        <w:rPr>
          <w:rFonts w:ascii="Times New Roman" w:hAnsi="Times New Roman" w:cs="Times New Roman" w:eastAsia="Times New Roman"/>
          <w:color w:val="000000"/>
        </w:rPr>
        <w:t> (AI RMF) </w:t>
      </w:r>
      <w:hyperlink r:id="rId7" w:anchor="tab:govlongtblr" w:history="1">
        <w:r w:rsidRPr="00C0173C">
          <w:rPr>
            <w:rStyle w:val="Hyperlink"/>
            <w:rFonts w:ascii="Times New Roman" w:hAnsi="Times New Roman" w:cs="Times New Roman"/>
          </w:rPr>
          <w:t>Core (Tables 1 – 4 in AI RMF 1.0)</w:t>
        </w:r>
      </w:hyperlink>
      <w:r w:rsidRPr="00C0173C">
        <w:rPr>
          <w:rFonts w:ascii="Times New Roman" w:hAnsi="Times New Roman" w:cs="Times New Roman" w:eastAsia="Times New Roman"/>
          <w:color w:val="000000"/>
        </w:rPr>
        <w:t>. Suggestions are aligned to each sub-category within the four AI RMF functions (Govern, Map, Measure, Manage).</w:t>
      </w:r>
    </w:p>
    <w:p w14:paraId="349371D0" w14:textId="77777777" w:rsidR="00C0173C" w:rsidRPr="00C0173C" w:rsidRDefault="00C0173C" w:rsidP="00C0173C">
      <w:pPr>
        <w:spacing w:after="0" w:line="240" w:lineRule="auto"/>
        <w:contextualSpacing/>
        <w:jc w:val="both"/>
        <w:rPr>
          <w:rFonts w:ascii="Times New Roman" w:hAnsi="Times New Roman" w:cs="Times New Roman"/>
        </w:rPr>
      </w:pPr>
    </w:p>
    <w:p w14:paraId="1E60DAAA" w14:textId="77777777" w:rsidR="00C0173C" w:rsidRPr="00C0173C" w:rsidRDefault="00C0173C" w:rsidP="00C0173C">
      <w:pPr>
        <w:spacing w:after="0" w:line="240" w:lineRule="auto"/>
        <w:contextualSpacing/>
        <w:jc w:val="both"/>
        <w:rPr>
          <w:rFonts w:ascii="Times New Roman" w:hAnsi="Times New Roman" w:cs="Times New Roman"/>
        </w:rPr>
      </w:pPr>
      <w:r w:rsidRPr="00C0173C">
        <w:rPr>
          <w:rFonts w:ascii="Times New Roman" w:hAnsi="Times New Roman" w:cs="Times New Roman" w:eastAsia="Times New Roman"/>
          <w:color w:val="000000"/>
        </w:rPr>
        <w:t>The Playbook is neither a checklist nor set of steps to be followed in its entirety.</w:t>
      </w:r>
    </w:p>
    <w:p w14:paraId="72CC9950" w14:textId="77777777" w:rsidR="00C0173C" w:rsidRPr="00C0173C" w:rsidRDefault="00C0173C" w:rsidP="00C0173C">
      <w:pPr>
        <w:spacing w:after="0" w:line="240" w:lineRule="auto"/>
        <w:contextualSpacing/>
        <w:jc w:val="both"/>
        <w:rPr>
          <w:rFonts w:ascii="Times New Roman" w:hAnsi="Times New Roman" w:cs="Times New Roman"/>
        </w:rPr>
      </w:pPr>
    </w:p>
    <w:p w14:paraId="04B15F9D" w14:textId="77777777" w:rsidR="00C0173C" w:rsidRPr="00C0173C" w:rsidRDefault="00C0173C" w:rsidP="00C0173C">
      <w:pPr>
        <w:spacing w:after="0" w:line="240" w:lineRule="auto"/>
        <w:contextualSpacing/>
        <w:jc w:val="both"/>
        <w:rPr>
          <w:rFonts w:ascii="Times New Roman" w:hAnsi="Times New Roman" w:cs="Times New Roman"/>
        </w:rPr>
      </w:pPr>
      <w:r w:rsidRPr="00C0173C">
        <w:rPr>
          <w:rFonts w:ascii="Times New Roman" w:hAnsi="Times New Roman" w:cs="Times New Roman" w:eastAsia="Times New Roman"/>
          <w:color w:val="000000"/>
        </w:rPr>
        <w:t>Playbook suggestions are voluntary. Organizations may utilize this information by borrowing as many – or as few – suggestions as apply to their industry use case or interests.</w:t>
      </w:r>
    </w:p>
    <w:p w14:paraId="5BD100C3" w14:textId="77777777" w:rsidR="0018178A" w:rsidRPr="00C0173C" w:rsidRDefault="0018178A" w:rsidP="00C0173C">
      <w:pPr>
        <w:spacing w:after="0" w:line="240" w:lineRule="auto"/>
        <w:contextualSpacing/>
        <w:jc w:val="both"/>
        <w:rPr>
          <w:rFonts w:ascii="Times New Roman" w:hAnsi="Times New Roman" w:cs="Times New Roman"/>
        </w:rPr>
      </w:pPr>
    </w:p>
    <w:p w14:paraId="7C172362" w14:textId="7308F696" w:rsidR="0018178A" w:rsidRPr="00C0173C" w:rsidRDefault="00C0173C" w:rsidP="00C0173C">
      <w:pPr>
        <w:spacing w:after="0" w:line="240" w:lineRule="auto"/>
        <w:contextualSpacing/>
        <w:jc w:val="both"/>
        <w:rPr>
          <w:rFonts w:ascii="Times New Roman" w:hAnsi="Times New Roman" w:cs="Times New Roman"/>
        </w:rPr>
      </w:pPr>
      <w:r w:rsidRPr="00C0173C">
        <w:rPr>
          <w:rFonts w:ascii="Times New Roman" w:hAnsi="Times New Roman" w:cs="Times New Roman" w:eastAsia="Times New Roman"/>
          <w:noProof/>
          <w:color w:val="000000"/>
        </w:rPr>
        <w:drawing>
          <wp:inline distT="0" distB="0" distL="0" distR="0" wp14:anchorId="76331B11" wp14:editId="00064232">
            <wp:extent cx="6858000" cy="6752590"/>
            <wp:effectExtent l="0" t="0" r="0" b="0"/>
            <wp:docPr id="609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0" cy="6752590"/>
                    </a:xfrm>
                    <a:prstGeom prst="rect">
                      <a:avLst/>
                    </a:prstGeom>
                    <a:noFill/>
                    <a:ln>
                      <a:noFill/>
                    </a:ln>
                  </pic:spPr>
                </pic:pic>
              </a:graphicData>
            </a:graphic>
          </wp:inline>
        </w:drawing>
      </w:r>
    </w:p>
    <w:p w14:paraId="21F27F8B" w14:textId="77777777" w:rsidR="00C0173C" w:rsidRPr="00C0173C" w:rsidRDefault="00C0173C" w:rsidP="00C0173C">
      <w:pPr>
        <w:spacing w:after="0" w:line="240" w:lineRule="auto"/>
        <w:contextualSpacing/>
        <w:jc w:val="both"/>
        <w:rPr>
          <w:rFonts w:ascii="Times New Roman" w:hAnsi="Times New Roman" w:cs="Times New Roman"/>
        </w:rPr>
      </w:pPr>
    </w:p>
    <w:sdt>
      <w:sdtPr>
        <w:rPr>
          <w:rFonts w:ascii="Times New Roman" w:eastAsiaTheme="minorHAnsi" w:hAnsi="Times New Roman" w:cs="Times New Roman"/>
          <w:color w:val="auto"/>
          <w:kern w:val="2"/>
          <w:sz w:val="24"/>
          <w:szCs w:val="24"/>
          <w14:ligatures w14:val="standardContextual"/>
        </w:rPr>
        <w:id w:val="861785868"/>
        <w:docPartObj>
          <w:docPartGallery w:val="Table of Contents"/>
          <w:docPartUnique/>
        </w:docPartObj>
      </w:sdtPr>
      <w:sdtEndPr>
        <w:rPr>
          <w:b/>
          <w:bCs/>
          <w:noProof/>
        </w:rPr>
      </w:sdtEndPr>
      <w:sdtContent>
        <w:p>
          <w:pPr>
            <w:pStyle w:val="TOCHeading"/>
          </w:pPr>
          <w:r>
            <w:rPr>
              <w:rFonts w:ascii="Times New Roman" w:hAnsi="Times New Roman" w:eastAsia="Times New Roman" w:cs="Times New Roman"/>
              <w:color w:val="000000"/>
            </w:rPr>
            <w:t>Contents</w:t>
          </w:r>
        </w:p>
        <w:p>
          <w:pPr>
            <w:pStyle w:val="TOC1"/>
            <w:tabs>
              <w:tab w:pos="10790" w:val="right" w:leader="dot"/>
            </w:tabs>
          </w:pPr>
          <w:r>
            <w:rPr>
              <w:rFonts w:ascii="Times New Roman" w:hAnsi="Times New Roman" w:eastAsia="Times New Roman" w:cs="Times New Roman"/>
              <w:b/>
              <w:color w:val="000000"/>
            </w:rPr>
            <w:t>Manage</w:t>
          </w:r>
          <w:r>
            <w:rPr>
              <w:rFonts w:ascii="Times New Roman" w:hAnsi="Times New Roman" w:eastAsia="Times New Roman" w:cs="Times New Roman"/>
              <w:color w:val="000000"/>
            </w:rPr>
            <w:tab/>
          </w:r>
          <w:r>
            <w:rPr>
              <w:rFonts w:ascii="Times New Roman" w:hAnsi="Times New Roman" w:eastAsia="Times New Roman" w:cs="Times New Roman"/>
              <w:b/>
              <w:color w:val="000000"/>
            </w:rPr>
            <w:t>2</w:t>
          </w:r>
        </w:p>
        <w:p>
          <w:pPr>
            <w:pStyle w:val="TOC2"/>
            <w:tabs>
              <w:tab w:pos="10790" w:val="right" w:leader="dot"/>
            </w:tabs>
          </w:pPr>
          <w:r>
            <w:rPr>
              <w:rFonts w:ascii="Times New Roman" w:hAnsi="Times New Roman" w:eastAsia="Times New Roman" w:cs="Times New Roman"/>
              <w:b/>
              <w:color w:val="000000"/>
            </w:rPr>
            <w:t>Manage 1</w:t>
          </w:r>
          <w:r>
            <w:rPr>
              <w:rFonts w:ascii="Times New Roman" w:hAnsi="Times New Roman" w:eastAsia="Times New Roman" w:cs="Times New Roman"/>
              <w:color w:val="000000"/>
            </w:rPr>
            <w:tab/>
          </w:r>
          <w:r>
            <w:rPr>
              <w:rFonts w:ascii="Times New Roman" w:hAnsi="Times New Roman" w:eastAsia="Times New Roman" w:cs="Times New Roman"/>
              <w:b/>
              <w:color w:val="000000"/>
            </w:rPr>
            <w:t>2</w:t>
          </w:r>
        </w:p>
        <w:p>
          <w:pPr>
            <w:pStyle w:val="TOC3"/>
            <w:tabs>
              <w:tab w:pos="10790" w:val="right" w:leader="dot"/>
            </w:tabs>
          </w:pPr>
          <w:r>
            <w:rPr>
              <w:rFonts w:ascii="Times New Roman" w:hAnsi="Times New Roman" w:eastAsia="Times New Roman" w:cs="Times New Roman"/>
              <w:b/>
              <w:color w:val="000000"/>
            </w:rPr>
            <w:t>MANAGE 1.1</w:t>
          </w:r>
          <w:r>
            <w:rPr>
              <w:rFonts w:ascii="Times New Roman" w:hAnsi="Times New Roman" w:eastAsia="Times New Roman" w:cs="Times New Roman"/>
              <w:color w:val="000000"/>
            </w:rPr>
            <w:tab/>
          </w:r>
          <w:r>
            <w:rPr>
              <w:rFonts w:ascii="Times New Roman" w:hAnsi="Times New Roman" w:eastAsia="Times New Roman" w:cs="Times New Roman"/>
              <w:b/>
              <w:color w:val="000000"/>
            </w:rPr>
            <w:t>2</w:t>
          </w:r>
        </w:p>
        <w:p>
          <w:pPr>
            <w:pStyle w:val="TOC3"/>
            <w:tabs>
              <w:tab w:pos="10790" w:val="right" w:leader="dot"/>
            </w:tabs>
          </w:pPr>
          <w:r>
            <w:rPr>
              <w:rFonts w:ascii="Times New Roman" w:hAnsi="Times New Roman" w:eastAsia="Times New Roman" w:cs="Times New Roman"/>
              <w:b/>
              <w:color w:val="000000"/>
            </w:rPr>
            <w:t>MANAGE 1.2</w:t>
          </w:r>
          <w:r>
            <w:rPr>
              <w:rFonts w:ascii="Times New Roman" w:hAnsi="Times New Roman" w:eastAsia="Times New Roman" w:cs="Times New Roman"/>
              <w:color w:val="000000"/>
            </w:rPr>
            <w:tab/>
          </w:r>
          <w:r>
            <w:rPr>
              <w:rFonts w:ascii="Times New Roman" w:hAnsi="Times New Roman" w:eastAsia="Times New Roman" w:cs="Times New Roman"/>
              <w:b/>
              <w:color w:val="000000"/>
            </w:rPr>
            <w:t>3</w:t>
          </w:r>
        </w:p>
        <w:p>
          <w:pPr>
            <w:pStyle w:val="TOC3"/>
            <w:tabs>
              <w:tab w:pos="10790" w:val="right" w:leader="dot"/>
            </w:tabs>
          </w:pPr>
          <w:r>
            <w:rPr>
              <w:rFonts w:ascii="Times New Roman" w:hAnsi="Times New Roman" w:eastAsia="Times New Roman" w:cs="Times New Roman"/>
              <w:b/>
              <w:color w:val="000000"/>
            </w:rPr>
            <w:t>MANAGE 1.3</w:t>
          </w:r>
          <w:r>
            <w:rPr>
              <w:rFonts w:ascii="Times New Roman" w:hAnsi="Times New Roman" w:eastAsia="Times New Roman" w:cs="Times New Roman"/>
              <w:color w:val="000000"/>
            </w:rPr>
            <w:tab/>
          </w:r>
          <w:r>
            <w:rPr>
              <w:rFonts w:ascii="Times New Roman" w:hAnsi="Times New Roman" w:eastAsia="Times New Roman" w:cs="Times New Roman"/>
              <w:b/>
              <w:color w:val="000000"/>
            </w:rPr>
            <w:t>4</w:t>
          </w:r>
        </w:p>
        <w:p>
          <w:pPr>
            <w:pStyle w:val="TOC3"/>
            <w:tabs>
              <w:tab w:pos="10790" w:val="right" w:leader="dot"/>
            </w:tabs>
          </w:pPr>
          <w:r>
            <w:rPr>
              <w:rFonts w:ascii="Times New Roman" w:hAnsi="Times New Roman" w:eastAsia="Times New Roman" w:cs="Times New Roman"/>
              <w:b/>
              <w:color w:val="000000"/>
            </w:rPr>
            <w:t>MANAGE 1.4</w:t>
          </w:r>
          <w:r>
            <w:rPr>
              <w:rFonts w:ascii="Times New Roman" w:hAnsi="Times New Roman" w:eastAsia="Times New Roman" w:cs="Times New Roman"/>
              <w:color w:val="000000"/>
            </w:rPr>
            <w:tab/>
          </w:r>
          <w:r>
            <w:rPr>
              <w:rFonts w:ascii="Times New Roman" w:hAnsi="Times New Roman" w:eastAsia="Times New Roman" w:cs="Times New Roman"/>
              <w:b/>
              <w:color w:val="000000"/>
            </w:rPr>
            <w:t>5</w:t>
          </w:r>
        </w:p>
        <w:p>
          <w:pPr>
            <w:pStyle w:val="TOC2"/>
            <w:tabs>
              <w:tab w:pos="10790" w:val="right" w:leader="dot"/>
            </w:tabs>
          </w:pPr>
          <w:r>
            <w:rPr>
              <w:rFonts w:ascii="Times New Roman" w:hAnsi="Times New Roman" w:eastAsia="Times New Roman" w:cs="Times New Roman"/>
              <w:b/>
              <w:color w:val="000000"/>
            </w:rPr>
            <w:t>Manage 2</w:t>
          </w:r>
          <w:r>
            <w:rPr>
              <w:rFonts w:ascii="Times New Roman" w:hAnsi="Times New Roman" w:eastAsia="Times New Roman" w:cs="Times New Roman"/>
              <w:color w:val="000000"/>
            </w:rPr>
            <w:tab/>
          </w:r>
          <w:r>
            <w:rPr>
              <w:rFonts w:ascii="Times New Roman" w:hAnsi="Times New Roman" w:eastAsia="Times New Roman" w:cs="Times New Roman"/>
              <w:b/>
              <w:color w:val="000000"/>
            </w:rPr>
            <w:t>6</w:t>
          </w:r>
        </w:p>
        <w:p>
          <w:pPr>
            <w:pStyle w:val="TOC3"/>
            <w:tabs>
              <w:tab w:pos="10790" w:val="right" w:leader="dot"/>
            </w:tabs>
          </w:pPr>
          <w:r>
            <w:rPr>
              <w:rFonts w:ascii="Times New Roman" w:hAnsi="Times New Roman" w:eastAsia="Times New Roman" w:cs="Times New Roman"/>
              <w:b/>
              <w:color w:val="000000"/>
            </w:rPr>
            <w:t>MANAGE 2.1</w:t>
          </w:r>
          <w:r>
            <w:rPr>
              <w:rFonts w:ascii="Times New Roman" w:hAnsi="Times New Roman" w:eastAsia="Times New Roman" w:cs="Times New Roman"/>
              <w:color w:val="000000"/>
            </w:rPr>
            <w:tab/>
          </w:r>
          <w:r>
            <w:rPr>
              <w:rFonts w:ascii="Times New Roman" w:hAnsi="Times New Roman" w:eastAsia="Times New Roman" w:cs="Times New Roman"/>
              <w:b/>
              <w:color w:val="000000"/>
            </w:rPr>
            <w:t>6</w:t>
          </w:r>
        </w:p>
        <w:p>
          <w:pPr>
            <w:pStyle w:val="TOC3"/>
            <w:tabs>
              <w:tab w:pos="10790" w:val="right" w:leader="dot"/>
            </w:tabs>
          </w:pPr>
          <w:r>
            <w:rPr>
              <w:rFonts w:ascii="Times New Roman" w:hAnsi="Times New Roman" w:eastAsia="Times New Roman" w:cs="Times New Roman"/>
              <w:b/>
              <w:color w:val="000000"/>
            </w:rPr>
            <w:t>MANAGE 2.2</w:t>
          </w:r>
          <w:r>
            <w:rPr>
              <w:rFonts w:ascii="Times New Roman" w:hAnsi="Times New Roman" w:eastAsia="Times New Roman" w:cs="Times New Roman"/>
              <w:color w:val="000000"/>
            </w:rPr>
            <w:tab/>
          </w:r>
          <w:r>
            <w:rPr>
              <w:rFonts w:ascii="Times New Roman" w:hAnsi="Times New Roman" w:eastAsia="Times New Roman" w:cs="Times New Roman"/>
              <w:b/>
              <w:color w:val="000000"/>
            </w:rPr>
            <w:t>7</w:t>
          </w:r>
        </w:p>
        <w:p>
          <w:pPr>
            <w:pStyle w:val="TOC3"/>
            <w:tabs>
              <w:tab w:pos="10790" w:val="right" w:leader="dot"/>
            </w:tabs>
          </w:pPr>
          <w:r>
            <w:rPr>
              <w:rFonts w:ascii="Times New Roman" w:hAnsi="Times New Roman" w:eastAsia="Times New Roman" w:cs="Times New Roman"/>
              <w:b/>
              <w:color w:val="000000"/>
            </w:rPr>
            <w:t>MANAGE 2.3</w:t>
          </w:r>
          <w:r>
            <w:rPr>
              <w:rFonts w:ascii="Times New Roman" w:hAnsi="Times New Roman" w:eastAsia="Times New Roman" w:cs="Times New Roman"/>
              <w:color w:val="000000"/>
            </w:rPr>
            <w:tab/>
          </w:r>
          <w:r>
            <w:rPr>
              <w:rFonts w:ascii="Times New Roman" w:hAnsi="Times New Roman" w:eastAsia="Times New Roman" w:cs="Times New Roman"/>
              <w:b/>
              <w:color w:val="000000"/>
            </w:rPr>
            <w:t>11</w:t>
          </w:r>
        </w:p>
        <w:p>
          <w:pPr>
            <w:pStyle w:val="TOC3"/>
            <w:tabs>
              <w:tab w:pos="10790" w:val="right" w:leader="dot"/>
            </w:tabs>
          </w:pPr>
          <w:r>
            <w:rPr>
              <w:rFonts w:ascii="Times New Roman" w:hAnsi="Times New Roman" w:eastAsia="Times New Roman" w:cs="Times New Roman"/>
              <w:b/>
              <w:color w:val="000000"/>
            </w:rPr>
            <w:t>MANAGE 2.4</w:t>
          </w:r>
          <w:r>
            <w:rPr>
              <w:rFonts w:ascii="Times New Roman" w:hAnsi="Times New Roman" w:eastAsia="Times New Roman" w:cs="Times New Roman"/>
              <w:color w:val="000000"/>
            </w:rPr>
            <w:tab/>
          </w:r>
          <w:r>
            <w:rPr>
              <w:rFonts w:ascii="Times New Roman" w:hAnsi="Times New Roman" w:eastAsia="Times New Roman" w:cs="Times New Roman"/>
              <w:b/>
              <w:color w:val="000000"/>
            </w:rPr>
            <w:t>12</w:t>
          </w:r>
        </w:p>
        <w:p>
          <w:pPr>
            <w:pStyle w:val="TOC2"/>
            <w:tabs>
              <w:tab w:pos="10790" w:val="right" w:leader="dot"/>
            </w:tabs>
          </w:pPr>
          <w:r>
            <w:rPr>
              <w:rFonts w:ascii="Times New Roman" w:hAnsi="Times New Roman" w:eastAsia="Times New Roman" w:cs="Times New Roman"/>
              <w:b/>
              <w:color w:val="000000"/>
            </w:rPr>
            <w:t>Manage 3</w:t>
          </w:r>
          <w:r>
            <w:rPr>
              <w:rFonts w:ascii="Times New Roman" w:hAnsi="Times New Roman" w:eastAsia="Times New Roman" w:cs="Times New Roman"/>
              <w:color w:val="000000"/>
            </w:rPr>
            <w:tab/>
          </w:r>
          <w:r>
            <w:rPr>
              <w:rFonts w:ascii="Times New Roman" w:hAnsi="Times New Roman" w:eastAsia="Times New Roman" w:cs="Times New Roman"/>
              <w:b/>
              <w:color w:val="000000"/>
            </w:rPr>
            <w:t>13</w:t>
          </w:r>
        </w:p>
        <w:p>
          <w:pPr>
            <w:pStyle w:val="TOC3"/>
            <w:tabs>
              <w:tab w:pos="10790" w:val="right" w:leader="dot"/>
            </w:tabs>
          </w:pPr>
          <w:r>
            <w:rPr>
              <w:rFonts w:ascii="Times New Roman" w:hAnsi="Times New Roman" w:eastAsia="Times New Roman" w:cs="Times New Roman"/>
              <w:b/>
              <w:color w:val="000000"/>
            </w:rPr>
            <w:t>MANAGE 3.1</w:t>
          </w:r>
          <w:r>
            <w:rPr>
              <w:rFonts w:ascii="Times New Roman" w:hAnsi="Times New Roman" w:eastAsia="Times New Roman" w:cs="Times New Roman"/>
              <w:color w:val="000000"/>
            </w:rPr>
            <w:tab/>
          </w:r>
          <w:r>
            <w:rPr>
              <w:rFonts w:ascii="Times New Roman" w:hAnsi="Times New Roman" w:eastAsia="Times New Roman" w:cs="Times New Roman"/>
              <w:b/>
              <w:color w:val="000000"/>
            </w:rPr>
            <w:t>13</w:t>
          </w:r>
        </w:p>
        <w:p>
          <w:pPr>
            <w:pStyle w:val="TOC3"/>
            <w:tabs>
              <w:tab w:pos="10790" w:val="right" w:leader="dot"/>
            </w:tabs>
          </w:pPr>
          <w:r>
            <w:rPr>
              <w:rFonts w:ascii="Times New Roman" w:hAnsi="Times New Roman" w:eastAsia="Times New Roman" w:cs="Times New Roman"/>
              <w:b/>
              <w:color w:val="000000"/>
            </w:rPr>
            <w:t>MANAGE 3.2</w:t>
          </w:r>
          <w:r>
            <w:rPr>
              <w:rFonts w:ascii="Times New Roman" w:hAnsi="Times New Roman" w:eastAsia="Times New Roman" w:cs="Times New Roman"/>
              <w:color w:val="000000"/>
            </w:rPr>
            <w:tab/>
          </w:r>
          <w:r>
            <w:rPr>
              <w:rFonts w:ascii="Times New Roman" w:hAnsi="Times New Roman" w:eastAsia="Times New Roman" w:cs="Times New Roman"/>
              <w:b/>
              <w:color w:val="000000"/>
            </w:rPr>
            <w:t>14</w:t>
          </w:r>
        </w:p>
        <w:p>
          <w:pPr>
            <w:pStyle w:val="TOC2"/>
            <w:tabs>
              <w:tab w:pos="10790" w:val="right" w:leader="dot"/>
            </w:tabs>
          </w:pPr>
          <w:r>
            <w:rPr>
              <w:rFonts w:ascii="Times New Roman" w:hAnsi="Times New Roman" w:eastAsia="Times New Roman" w:cs="Times New Roman"/>
              <w:b/>
              <w:color w:val="000000"/>
            </w:rPr>
            <w:t>Manage 4</w:t>
          </w:r>
          <w:r>
            <w:rPr>
              <w:rFonts w:ascii="Times New Roman" w:hAnsi="Times New Roman" w:eastAsia="Times New Roman" w:cs="Times New Roman"/>
              <w:color w:val="000000"/>
            </w:rPr>
            <w:tab/>
          </w:r>
          <w:r>
            <w:rPr>
              <w:rFonts w:ascii="Times New Roman" w:hAnsi="Times New Roman" w:eastAsia="Times New Roman" w:cs="Times New Roman"/>
              <w:b/>
              <w:color w:val="000000"/>
            </w:rPr>
            <w:t>15</w:t>
          </w:r>
        </w:p>
        <w:p>
          <w:pPr>
            <w:pStyle w:val="TOC3"/>
            <w:tabs>
              <w:tab w:pos="10790" w:val="right" w:leader="dot"/>
            </w:tabs>
          </w:pPr>
          <w:r>
            <w:rPr>
              <w:rFonts w:ascii="Times New Roman" w:hAnsi="Times New Roman" w:eastAsia="Times New Roman" w:cs="Times New Roman"/>
              <w:b/>
              <w:color w:val="000000"/>
            </w:rPr>
            <w:t>MANAGE 4.1</w:t>
          </w:r>
          <w:r>
            <w:rPr>
              <w:rFonts w:ascii="Times New Roman" w:hAnsi="Times New Roman" w:eastAsia="Times New Roman" w:cs="Times New Roman"/>
              <w:color w:val="000000"/>
            </w:rPr>
            <w:tab/>
          </w:r>
          <w:r>
            <w:rPr>
              <w:rFonts w:ascii="Times New Roman" w:hAnsi="Times New Roman" w:eastAsia="Times New Roman" w:cs="Times New Roman"/>
              <w:b/>
              <w:color w:val="000000"/>
            </w:rPr>
            <w:t>15</w:t>
          </w:r>
        </w:p>
        <w:p>
          <w:pPr>
            <w:pStyle w:val="TOC3"/>
            <w:tabs>
              <w:tab w:pos="10790" w:val="right" w:leader="dot"/>
            </w:tabs>
          </w:pPr>
          <w:r>
            <w:rPr>
              <w:rFonts w:ascii="Times New Roman" w:hAnsi="Times New Roman" w:eastAsia="Times New Roman" w:cs="Times New Roman"/>
              <w:b/>
              <w:color w:val="000000"/>
            </w:rPr>
            <w:t>MANAGE 4.2</w:t>
          </w:r>
          <w:r>
            <w:rPr>
              <w:rFonts w:ascii="Times New Roman" w:hAnsi="Times New Roman" w:eastAsia="Times New Roman" w:cs="Times New Roman"/>
              <w:color w:val="000000"/>
            </w:rPr>
            <w:tab/>
          </w:r>
          <w:r>
            <w:rPr>
              <w:rFonts w:ascii="Times New Roman" w:hAnsi="Times New Roman" w:eastAsia="Times New Roman" w:cs="Times New Roman"/>
              <w:b/>
              <w:color w:val="000000"/>
            </w:rPr>
            <w:t>16</w:t>
          </w:r>
        </w:p>
        <w:p>
          <w:pPr>
            <w:pStyle w:val="TOC3"/>
            <w:tabs>
              <w:tab w:pos="10790" w:val="right" w:leader="dot"/>
            </w:tabs>
          </w:pPr>
          <w:r>
            <w:rPr>
              <w:rFonts w:ascii="Times New Roman" w:hAnsi="Times New Roman" w:eastAsia="Times New Roman" w:cs="Times New Roman"/>
              <w:b/>
              <w:color w:val="000000"/>
            </w:rPr>
            <w:t>MANAGE 4.3</w:t>
          </w:r>
          <w:r>
            <w:rPr>
              <w:rFonts w:ascii="Times New Roman" w:hAnsi="Times New Roman" w:eastAsia="Times New Roman" w:cs="Times New Roman"/>
              <w:color w:val="000000"/>
            </w:rPr>
            <w:tab/>
          </w:r>
          <w:r>
            <w:rPr>
              <w:rFonts w:ascii="Times New Roman" w:hAnsi="Times New Roman" w:eastAsia="Times New Roman" w:cs="Times New Roman"/>
              <w:b/>
              <w:color w:val="000000"/>
            </w:rPr>
            <w:t>17</w:t>
          </w:r>
        </w:p>
      </w:sdtContent>
    </w:sdt>
    <w:p/>
    <w:tbl>
      <w:tblPr>
        <w:tblStyle w:val="TableGrid"/>
        <w:tblW w:w="0" w:type="auto"/>
        <w:tblLook w:val="04A0" w:firstRow="1" w:lastRow="0" w:firstColumn="1" w:lastColumn="0" w:noHBand="0" w:noVBand="1"/>
      </w:tblPr>
      <w:tblGrid>
        <w:gridCol w:w="10790"/>
      </w:tblGrid>
      <w:tr w:rsidR="00864629" w:rsidRPr="00864629" w14:paraId="79A25645" w14:textId="77777777" w:rsidTr="00195326">
        <w:tc>
          <w:tcPr>
            <w:tcW w:w="10790" w:type="dxa"/>
            <w:shd w:val="clear" w:color="auto" w:fill="2F5496" w:themeFill="accent1" w:themeFillShade="BF"/>
          </w:tcPr>
          <w:p>
            <w:pPr>
              <w:pStyle w:val="Heading1"/>
              <w:jc w:val="center"/>
            </w:pPr>
            <w:r>
              <w:rPr>
                <w:rFonts w:ascii="Times New Roman" w:hAnsi="Times New Roman" w:eastAsia="Times New Roman" w:cs="Times New Roman"/>
                <w:b/>
                <w:color w:val="000000"/>
              </w:rPr>
              <w:t>Manage</w:t>
            </w:r>
          </w:p>
        </w:tc>
      </w:tr>
    </w:tbl>
    <w:p/>
    <w:tbl>
      <w:tblPr>
        <w:tblStyle w:val="TableGrid"/>
        <w:tblW w:w="0" w:type="auto"/>
        <w:tblLook w:val="04A0" w:firstRow="1" w:lastRow="0" w:firstColumn="1" w:lastColumn="0" w:noHBand="0" w:noVBand="1"/>
      </w:tblPr>
      <w:tblGrid>
        <w:gridCol w:w="10790"/>
      </w:tblGrid>
      <w:tr w:rsidR="00864629" w:rsidRPr="00864629" w14:paraId="663ABB0E" w14:textId="77777777" w:rsidTr="00195326">
        <w:tc>
          <w:tcPr>
            <w:tcW w:w="10790" w:type="dxa"/>
            <w:shd w:val="clear" w:color="auto" w:fill="8EAADB" w:themeFill="accent1" w:themeFillTint="99"/>
          </w:tcPr>
          <w:p>
            <w:pPr>
              <w:pStyle w:val="Heading2"/>
              <w:jc w:val="center"/>
            </w:pPr>
            <w:r>
              <w:rPr>
                <w:rFonts w:ascii="Times New Roman" w:hAnsi="Times New Roman" w:eastAsia="Times New Roman" w:cs="Times New Roman"/>
                <w:b/>
                <w:color w:val="000000"/>
              </w:rPr>
              <w:t>Manage 1</w:t>
            </w:r>
          </w:p>
        </w:tc>
      </w:tr>
      <w:tr w:rsidR="00864629" w14:paraId="50FA61A0" w14:textId="77777777" w:rsidTr="00195326">
        <w:tc>
          <w:tcPr>
            <w:tcW w:w="10790" w:type="dxa"/>
          </w:tcPr>
          <w:p>
            <w:pPr>
              <w:jc w:val="both"/>
            </w:pPr>
            <w:r>
              <w:rPr>
                <w:rFonts w:ascii="Times New Roman" w:hAnsi="Times New Roman" w:eastAsia="Times New Roman" w:cs="Times New Roman"/>
                <w:color w:val="000000"/>
              </w:rPr>
              <w:t>AI risks based on assessments and other analytical output from the Map and Measure functions are prioritized, responded to, and managed.</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center"/>
            </w:pPr>
            <w:r>
              <w:rPr>
                <w:rFonts w:ascii="Times New Roman" w:hAnsi="Times New Roman" w:eastAsia="Times New Roman" w:cs="Times New Roman"/>
                <w:b/>
                <w:color w:val="000000"/>
              </w:rPr>
              <w:t>MANAGE 1.1</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A determination is made as to whether the AI system achieves its intended purpose and stated objectives and whether its development or deployment should proceed.</w:t>
            </w:r>
          </w:p>
        </w:tc>
      </w:tr>
      <w:tr w:rsidR="00864629" w14:paraId="750BA288" w14:textId="77777777" w:rsidTr="00864629">
        <w:tc>
          <w:tcPr>
            <w:tcW w:w="10790" w:type="dxa"/>
            <w:shd w:val="clear" w:color="auto" w:fill="D9E2F3" w:themeFill="accent1" w:themeFillTint="33"/>
          </w:tcPr>
          <w:p>
            <w:pPr>
              <w:jc w:val="center"/>
            </w:pPr>
            <w:r>
              <w:rPr>
                <w:rFonts w:ascii="Times New Roman" w:hAnsi="Times New Roman" w:eastAsia="Times New Roman" w:cs="Times New Roman"/>
                <w:b/>
                <w:color w:val="000000"/>
              </w:rPr>
              <w:t>About</w:t>
            </w:r>
          </w:p>
        </w:tc>
      </w:tr>
      <w:tr w:rsidR="00864629" w14:paraId="45DC7C0B" w14:textId="77777777" w:rsidTr="00864629">
        <w:tc>
          <w:tcPr>
            <w:tcW w:w="10790" w:type="dxa"/>
          </w:tcPr>
          <w:p>
            <w:pPr>
              <w:spacing w:after="0"/>
              <w:jc w:val="both"/>
            </w:pPr>
            <w:r>
              <w:rPr>
                <w:rFonts w:ascii="Times New Roman" w:hAnsi="Times New Roman" w:eastAsia="Times New Roman" w:cs="Times New Roman"/>
                <w:b w:val="0"/>
                <w:color w:val="000000"/>
              </w:rPr>
              <w:t>AI systems may not necessarily be the right solution for a given business task or problem. A standard risk management practice is to formally weigh an AI system’s negative risks against its benefits, and to determine if the AI system is an appropriate solution. Tradeoffs among trustworthiness characteristics —such as deciding to deploy a system based on system performance vs system transparency–may require regular assessment throughout the AI lifecycle.</w:t>
            </w:r>
          </w:p>
        </w:tc>
      </w:tr>
      <w:tr w:rsidR="00864629" w14:paraId="4BA0ACB4"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spacing w:after="0"/>
              <w:ind w:left="403" w:hanging="259"/>
              <w:jc w:val="both"/>
            </w:pPr>
            <w:r>
              <w:rPr>
                <w:rFonts w:ascii="Times New Roman" w:hAnsi="Times New Roman" w:eastAsia="Times New Roman" w:cs="Times New Roman"/>
                <w:b w:val="0"/>
                <w:color w:val="000000"/>
              </w:rPr>
              <w:t>•</w:t>
              <w:tab/>
              <w:t>Consider trustworthiness characteristics when evaluating AI systems’ negative risks and benefits.</w:t>
            </w:r>
          </w:p>
          <w:p>
            <w:pPr>
              <w:spacing w:after="0"/>
              <w:ind w:left="403" w:hanging="259"/>
              <w:jc w:val="both"/>
            </w:pPr>
            <w:r>
              <w:rPr>
                <w:rFonts w:ascii="Times New Roman" w:hAnsi="Times New Roman" w:eastAsia="Times New Roman" w:cs="Times New Roman"/>
                <w:b w:val="0"/>
                <w:color w:val="000000"/>
              </w:rPr>
              <w:t>•</w:t>
              <w:tab/>
              <w:t>Utilize TEVV outputs from map and measure functions when considering risk treatment.</w:t>
            </w:r>
          </w:p>
          <w:p>
            <w:pPr>
              <w:spacing w:after="0"/>
              <w:ind w:left="403" w:hanging="259"/>
              <w:jc w:val="both"/>
            </w:pPr>
            <w:r>
              <w:rPr>
                <w:rFonts w:ascii="Times New Roman" w:hAnsi="Times New Roman" w:eastAsia="Times New Roman" w:cs="Times New Roman"/>
                <w:b w:val="0"/>
                <w:color w:val="000000"/>
              </w:rPr>
              <w:t>•</w:t>
              <w:tab/>
              <w:t>Regularly track and monitor negative risks and benefits throughout the AI system lifecycle including in post-deployment monitoring.</w:t>
            </w:r>
          </w:p>
          <w:p>
            <w:pPr>
              <w:spacing w:after="0"/>
              <w:ind w:left="403" w:hanging="259"/>
              <w:jc w:val="both"/>
            </w:pPr>
            <w:r>
              <w:rPr>
                <w:rFonts w:ascii="Times New Roman" w:hAnsi="Times New Roman" w:eastAsia="Times New Roman" w:cs="Times New Roman"/>
                <w:b w:val="0"/>
                <w:color w:val="000000"/>
              </w:rPr>
              <w:t>•</w:t>
              <w:tab/>
              <w:t>Regularly assess and document system performance relative to trustworthiness characteristics and tradeoffs between negative risks and opportunities.</w:t>
            </w:r>
          </w:p>
          <w:p>
            <w:pPr>
              <w:spacing w:after="0"/>
              <w:ind w:left="403" w:hanging="259"/>
              <w:jc w:val="both"/>
            </w:pPr>
            <w:r>
              <w:rPr>
                <w:rFonts w:ascii="Times New Roman" w:hAnsi="Times New Roman" w:eastAsia="Times New Roman" w:cs="Times New Roman"/>
                <w:b w:val="0"/>
                <w:color w:val="000000"/>
              </w:rPr>
              <w:t>•</w:t>
              <w:tab/>
              <w:t>Evaluate tradeoffs in connection with real-world use cases and impacts and as enumerated in Map function outcomes.</w:t>
            </w:r>
          </w:p>
        </w:tc>
      </w:tr>
      <w:tr w:rsidR="00AC5C09" w14:paraId="0DFBFC7A"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color w:val="000000"/>
              </w:rPr>
              <w:t>Organizations can document the following</w:t>
            </w:r>
          </w:p>
          <w:p>
            <w:pPr>
              <w:spacing w:after="0"/>
              <w:ind w:left="403" w:hanging="259"/>
              <w:jc w:val="both"/>
            </w:pPr>
            <w:r>
              <w:rPr>
                <w:rFonts w:ascii="Times New Roman" w:hAnsi="Times New Roman" w:eastAsia="Times New Roman" w:cs="Times New Roman"/>
                <w:b w:val="0"/>
                <w:color w:val="000000"/>
              </w:rPr>
              <w:t>•</w:t>
              <w:tab/>
              <w:t>How do the technical specifications and requirements align with the AI system’s goals and objectives?</w:t>
            </w:r>
          </w:p>
          <w:p>
            <w:pPr>
              <w:spacing w:after="0"/>
              <w:ind w:left="403" w:hanging="259"/>
              <w:jc w:val="both"/>
            </w:pPr>
            <w:r>
              <w:rPr>
                <w:rFonts w:ascii="Times New Roman" w:hAnsi="Times New Roman" w:eastAsia="Times New Roman" w:cs="Times New Roman"/>
                <w:b w:val="0"/>
                <w:color w:val="000000"/>
              </w:rPr>
              <w:t>•</w:t>
              <w:tab/>
              <w:t>To what extent are the metrics consistent with system goals, objectives, and constraints, including ethical and compliance considerations?</w:t>
            </w:r>
          </w:p>
          <w:p>
            <w:pPr>
              <w:spacing w:after="0"/>
              <w:ind w:left="403" w:hanging="259"/>
              <w:jc w:val="both"/>
            </w:pPr>
            <w:r>
              <w:rPr>
                <w:rFonts w:ascii="Times New Roman" w:hAnsi="Times New Roman" w:eastAsia="Times New Roman" w:cs="Times New Roman"/>
                <w:b w:val="0"/>
                <w:color w:val="000000"/>
              </w:rPr>
              <w:t>•</w:t>
              <w:tab/>
              <w:t>What goals and objectives does the entity expect to achieve by designing, developing, and/or deploying the AI system?</w:t>
            </w:r>
          </w:p>
          <w:p>
            <w:pPr>
              <w:spacing w:after="0"/>
              <w:jc w:val="both"/>
            </w:pPr>
            <w:r>
              <w:rPr>
                <w:rFonts w:ascii="Times New Roman" w:hAnsi="Times New Roman" w:eastAsia="Times New Roman" w:cs="Times New Roman"/>
                <w:b/>
                <w:color w:val="000000"/>
              </w:rPr>
              <w:t>AI Transparency Resources</w:t>
            </w:r>
          </w:p>
          <w:p>
            <w:pPr>
              <w:spacing w:after="0"/>
              <w:ind w:left="403" w:hanging="259"/>
              <w:jc w:val="both"/>
            </w:pPr>
            <w:r>
              <w:rPr>
                <w:rFonts w:ascii="Times New Roman" w:hAnsi="Times New Roman" w:eastAsia="Times New Roman" w:cs="Times New Roman"/>
                <w:b w:val="0"/>
                <w:color w:val="000000"/>
              </w:rPr>
              <w:t>•</w:t>
              <w:tab/>
              <w:t>GAO-21-519SP - Artificial Intelligence: An Accountability Framework for Federal Agencies &amp; Other Entities. URL</w:t>
            </w:r>
          </w:p>
          <w:p>
            <w:pPr>
              <w:spacing w:after="0"/>
              <w:ind w:left="403" w:hanging="259"/>
              <w:jc w:val="both"/>
            </w:pPr>
            <w:r>
              <w:rPr>
                <w:rFonts w:ascii="Times New Roman" w:hAnsi="Times New Roman" w:eastAsia="Times New Roman" w:cs="Times New Roman"/>
                <w:b w:val="0"/>
                <w:color w:val="000000"/>
              </w:rPr>
              <w:t>•</w:t>
              <w:tab/>
              <w:t>Artificial Intelligence Ethics Framework For The Intelligence Community. URL</w:t>
            </w:r>
          </w:p>
          <w:p>
            <w:pPr>
              <w:spacing w:after="0"/>
              <w:ind w:left="403" w:hanging="259"/>
              <w:jc w:val="both"/>
            </w:pPr>
            <w:r>
              <w:rPr>
                <w:rFonts w:ascii="Times New Roman" w:hAnsi="Times New Roman" w:eastAsia="Times New Roman" w:cs="Times New Roman"/>
                <w:b w:val="0"/>
                <w:color w:val="000000"/>
              </w:rPr>
              <w:t>•</w:t>
              <w:tab/>
              <w:t>WEF Companion to the Model AI Governance Framework - Implementation and Self-Assessment Guide for Organizations. URL</w:t>
            </w:r>
          </w:p>
        </w:tc>
      </w:tr>
      <w:tr w:rsidR="00AC5C09" w14:paraId="0D73A2CD"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val="0"/>
                <w:color w:val="000000"/>
              </w:rPr>
              <w:t>Arvind Narayanan. How to recognize AI snake oil. Retrieved October 15, 2022. URL</w:t>
            </w:r>
          </w:p>
          <w:p>
            <w:pPr>
              <w:spacing w:after="0"/>
              <w:jc w:val="both"/>
            </w:pPr>
            <w:r>
              <w:rPr>
                <w:rFonts w:ascii="Times New Roman" w:hAnsi="Times New Roman" w:eastAsia="Times New Roman" w:cs="Times New Roman"/>
                <w:b w:val="0"/>
                <w:color w:val="000000"/>
              </w:rPr>
              <w:t>Board of Governors of the Federal Reserve System. SR 11-7: Guidance on Model Risk Management. (April 4, 2011). URL</w:t>
            </w:r>
          </w:p>
          <w:p>
            <w:pPr>
              <w:spacing w:after="0"/>
              <w:jc w:val="both"/>
            </w:pPr>
            <w:r>
              <w:rPr>
                <w:rFonts w:ascii="Times New Roman" w:hAnsi="Times New Roman" w:eastAsia="Times New Roman" w:cs="Times New Roman"/>
                <w:b w:val="0"/>
                <w:color w:val="000000"/>
              </w:rPr>
              <w:t>Emanuel Moss, Elizabeth Watkins, Ranjit Singh, Madeleine Clare Elish, Jacob Metcalf. 2021. Assembling Accountability: Algorithmic Impact Assessment for the Public Interest. (June 29, 2021). URL</w:t>
            </w:r>
          </w:p>
          <w:p>
            <w:pPr>
              <w:spacing w:after="0"/>
              <w:jc w:val="both"/>
            </w:pPr>
            <w:r>
              <w:rPr>
                <w:rFonts w:ascii="Times New Roman" w:hAnsi="Times New Roman" w:eastAsia="Times New Roman" w:cs="Times New Roman"/>
                <w:b w:val="0"/>
                <w:color w:val="000000"/>
              </w:rPr>
              <w:t>Fraser, Henry L and Bello y Villarino, Jose-Miguel, Where Residual Risks Reside: A Comparative Approach to Art 9(4) of the European Union's Proposed AI Regulation (September 30, 2021). URL</w:t>
            </w:r>
          </w:p>
          <w:p>
            <w:pPr>
              <w:spacing w:after="0"/>
              <w:jc w:val="both"/>
            </w:pPr>
            <w:r>
              <w:rPr>
                <w:rFonts w:ascii="Times New Roman" w:hAnsi="Times New Roman" w:eastAsia="Times New Roman" w:cs="Times New Roman"/>
                <w:b w:val="0"/>
                <w:color w:val="000000"/>
              </w:rPr>
              <w:t>Microsoft. 2022. Microsoft Responsible AI Impact Assessment Template. (June 2022). URL</w:t>
            </w:r>
          </w:p>
          <w:p>
            <w:pPr>
              <w:spacing w:after="0"/>
              <w:jc w:val="both"/>
            </w:pPr>
            <w:r>
              <w:rPr>
                <w:rFonts w:ascii="Times New Roman" w:hAnsi="Times New Roman" w:eastAsia="Times New Roman" w:cs="Times New Roman"/>
                <w:b w:val="0"/>
                <w:color w:val="000000"/>
              </w:rPr>
              <w:t>Office of the Comptroller of the Currency. 2021. Comptroller's Handbook: Model Risk Management, Version 1.0, August 2021. URL</w:t>
            </w:r>
          </w:p>
          <w:p>
            <w:pPr>
              <w:spacing w:after="0"/>
              <w:jc w:val="both"/>
            </w:pPr>
            <w:r>
              <w:rPr>
                <w:rFonts w:ascii="Times New Roman" w:hAnsi="Times New Roman" w:eastAsia="Times New Roman" w:cs="Times New Roman"/>
                <w:b w:val="0"/>
                <w:color w:val="000000"/>
              </w:rPr>
              <w:t>Solon Barocas, Asia J. Biega, Benjamin Fish, et al. 2020. When not to design, build, or deploy. In Proceedings of the 2020 Conference on Fairness, Accountability, and Transparency (FAT* '20). Association for Computing Machinery, New York, NY, USA, 695. URL</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center"/>
            </w:pPr>
            <w:r>
              <w:rPr>
                <w:rFonts w:ascii="Times New Roman" w:hAnsi="Times New Roman" w:eastAsia="Times New Roman" w:cs="Times New Roman"/>
                <w:b/>
                <w:color w:val="000000"/>
              </w:rPr>
              <w:t>MANAGE 1.2</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Treatment of documented AI risks is prioritized based on impact, likelihood, or available resources or methods.</w:t>
            </w:r>
          </w:p>
        </w:tc>
      </w:tr>
      <w:tr w:rsidR="00864629" w14:paraId="750BA288" w14:textId="77777777" w:rsidTr="00864629">
        <w:tc>
          <w:tcPr>
            <w:tcW w:w="10790" w:type="dxa"/>
            <w:shd w:val="clear" w:color="auto" w:fill="D9E2F3" w:themeFill="accent1" w:themeFillTint="33"/>
          </w:tcPr>
          <w:p>
            <w:pPr>
              <w:jc w:val="center"/>
            </w:pPr>
            <w:r>
              <w:rPr>
                <w:rFonts w:ascii="Times New Roman" w:hAnsi="Times New Roman" w:eastAsia="Times New Roman" w:cs="Times New Roman"/>
                <w:b/>
                <w:color w:val="000000"/>
              </w:rPr>
              <w:t>About</w:t>
            </w:r>
          </w:p>
        </w:tc>
      </w:tr>
      <w:tr w:rsidR="00864629" w14:paraId="45DC7C0B" w14:textId="77777777" w:rsidTr="00864629">
        <w:tc>
          <w:tcPr>
            <w:tcW w:w="10790" w:type="dxa"/>
          </w:tcPr>
          <w:p>
            <w:pPr>
              <w:spacing w:after="0"/>
              <w:jc w:val="both"/>
            </w:pPr>
            <w:r>
              <w:rPr>
                <w:rFonts w:ascii="Times New Roman" w:hAnsi="Times New Roman" w:eastAsia="Times New Roman" w:cs="Times New Roman"/>
                <w:b w:val="0"/>
                <w:color w:val="000000"/>
              </w:rPr>
              <w:t>Risk refers to the composite measure of an event’s probability of occurring and the magnitude (or degree) of the consequences of the corresponding events. The impacts, or consequences, of AI systems can be positive, negative, or both and can result in opportunities or risks.</w:t>
            </w:r>
          </w:p>
          <w:p>
            <w:pPr>
              <w:spacing w:after="0"/>
              <w:jc w:val="both"/>
            </w:pPr>
            <w:r>
              <w:rPr>
                <w:rFonts w:ascii="Times New Roman" w:hAnsi="Times New Roman" w:eastAsia="Times New Roman" w:cs="Times New Roman"/>
                <w:b w:val="0"/>
                <w:color w:val="000000"/>
              </w:rPr>
              <w:t>Organizational risk tolerances are often informed by several internal and external factors, including existing industry practices, organizational values, and legal or regulatory requirements. Since risk management resources are often limited, organizations usually assign them based on risk tolerance. AI risks that are deemed more serious receive more oversight attention and risk management resources.</w:t>
            </w:r>
          </w:p>
        </w:tc>
      </w:tr>
      <w:tr w:rsidR="00864629" w14:paraId="4BA0ACB4"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spacing w:after="0"/>
              <w:ind w:left="403" w:hanging="259"/>
              <w:jc w:val="both"/>
            </w:pPr>
            <w:r>
              <w:rPr>
                <w:rFonts w:ascii="Times New Roman" w:hAnsi="Times New Roman" w:eastAsia="Times New Roman" w:cs="Times New Roman"/>
                <w:b w:val="0"/>
                <w:color w:val="000000"/>
              </w:rPr>
              <w:t>•</w:t>
              <w:tab/>
              <w:t>Assign risk management resources relative to established risk tolerance. AI systems with lower risk tolerances receive greater oversight, mitigation and management resources.</w:t>
            </w:r>
          </w:p>
          <w:p>
            <w:pPr>
              <w:spacing w:after="0"/>
              <w:ind w:left="403" w:hanging="259"/>
              <w:jc w:val="both"/>
            </w:pPr>
            <w:r>
              <w:rPr>
                <w:rFonts w:ascii="Times New Roman" w:hAnsi="Times New Roman" w:eastAsia="Times New Roman" w:cs="Times New Roman"/>
                <w:b w:val="0"/>
                <w:color w:val="000000"/>
              </w:rPr>
              <w:t>•</w:t>
              <w:tab/>
              <w:t>Document AI risk tolerance determination practices and resource decisions.</w:t>
            </w:r>
          </w:p>
          <w:p>
            <w:pPr>
              <w:spacing w:after="0"/>
              <w:ind w:left="403" w:hanging="259"/>
              <w:jc w:val="both"/>
            </w:pPr>
            <w:r>
              <w:rPr>
                <w:rFonts w:ascii="Times New Roman" w:hAnsi="Times New Roman" w:eastAsia="Times New Roman" w:cs="Times New Roman"/>
                <w:b w:val="0"/>
                <w:color w:val="000000"/>
              </w:rPr>
              <w:t>•</w:t>
              <w:tab/>
              <w:t>Regularly review risk tolerances and re-calibrate, as needed, in accordance with information from AI system monitoring and assessment.</w:t>
            </w:r>
          </w:p>
        </w:tc>
      </w:tr>
      <w:tr w:rsidR="00AC5C09" w14:paraId="0DFBFC7A"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color w:val="000000"/>
              </w:rPr>
              <w:t>Organizations can document the following</w:t>
            </w:r>
          </w:p>
          <w:p>
            <w:pPr>
              <w:spacing w:after="0"/>
              <w:ind w:left="403" w:hanging="259"/>
              <w:jc w:val="both"/>
            </w:pPr>
            <w:r>
              <w:rPr>
                <w:rFonts w:ascii="Times New Roman" w:hAnsi="Times New Roman" w:eastAsia="Times New Roman" w:cs="Times New Roman"/>
                <w:b w:val="0"/>
                <w:color w:val="000000"/>
              </w:rPr>
              <w:t>•</w:t>
              <w:tab/>
              <w:t>Did your organization implement a risk management system to address risks involved in deploying the identified AI solution (e.g. personnel risk or changes to commercial objectives)?</w:t>
            </w:r>
          </w:p>
          <w:p>
            <w:pPr>
              <w:spacing w:after="0"/>
              <w:ind w:left="403" w:hanging="259"/>
              <w:jc w:val="both"/>
            </w:pPr>
            <w:r>
              <w:rPr>
                <w:rFonts w:ascii="Times New Roman" w:hAnsi="Times New Roman" w:eastAsia="Times New Roman" w:cs="Times New Roman"/>
                <w:b w:val="0"/>
                <w:color w:val="000000"/>
              </w:rPr>
              <w:t>•</w:t>
              <w:tab/>
              <w:t>What assessments has the entity conducted on data security and privacy impacts associated with the AI system?</w:t>
            </w:r>
          </w:p>
          <w:p>
            <w:pPr>
              <w:spacing w:after="0"/>
              <w:ind w:left="403" w:hanging="259"/>
              <w:jc w:val="both"/>
            </w:pPr>
            <w:r>
              <w:rPr>
                <w:rFonts w:ascii="Times New Roman" w:hAnsi="Times New Roman" w:eastAsia="Times New Roman" w:cs="Times New Roman"/>
                <w:b w:val="0"/>
                <w:color w:val="000000"/>
              </w:rPr>
              <w:t>•</w:t>
              <w:tab/>
              <w:t>Does your organization have an existing governance structure that can be leveraged to oversee the organization’s use of AI?</w:t>
            </w:r>
          </w:p>
          <w:p>
            <w:pPr>
              <w:spacing w:after="0"/>
              <w:jc w:val="both"/>
            </w:pPr>
            <w:r>
              <w:rPr>
                <w:rFonts w:ascii="Times New Roman" w:hAnsi="Times New Roman" w:eastAsia="Times New Roman" w:cs="Times New Roman"/>
                <w:b/>
                <w:color w:val="000000"/>
              </w:rPr>
              <w:t>AI Transparency Resources</w:t>
            </w:r>
          </w:p>
          <w:p>
            <w:pPr>
              <w:spacing w:after="0"/>
              <w:ind w:left="403" w:hanging="259"/>
              <w:jc w:val="both"/>
            </w:pPr>
            <w:r>
              <w:rPr>
                <w:rFonts w:ascii="Times New Roman" w:hAnsi="Times New Roman" w:eastAsia="Times New Roman" w:cs="Times New Roman"/>
                <w:b w:val="0"/>
                <w:color w:val="000000"/>
              </w:rPr>
              <w:t>•</w:t>
              <w:tab/>
              <w:t>WEF Companion to the Model AI Governance Framework - Implementation and Self-Assessment Guide for Organizations. URL</w:t>
            </w:r>
          </w:p>
          <w:p>
            <w:pPr>
              <w:spacing w:after="0"/>
              <w:ind w:left="403" w:hanging="259"/>
              <w:jc w:val="both"/>
            </w:pPr>
            <w:r>
              <w:rPr>
                <w:rFonts w:ascii="Times New Roman" w:hAnsi="Times New Roman" w:eastAsia="Times New Roman" w:cs="Times New Roman"/>
                <w:b w:val="0"/>
                <w:color w:val="000000"/>
              </w:rPr>
              <w:t>•</w:t>
              <w:tab/>
              <w:t>GAO-21-519SP - Artificial Intelligence: An Accountability Framework for Federal Agencies &amp; Other Entities. URL</w:t>
            </w:r>
          </w:p>
        </w:tc>
      </w:tr>
      <w:tr w:rsidR="00AC5C09" w14:paraId="0D73A2CD"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val="0"/>
                <w:color w:val="000000"/>
              </w:rPr>
              <w:t>Arvind Narayanan. How to recognize AI snake oil. Retrieved October 15, 2022. URL</w:t>
            </w:r>
          </w:p>
          <w:p>
            <w:pPr>
              <w:spacing w:after="0"/>
              <w:jc w:val="both"/>
            </w:pPr>
            <w:r>
              <w:rPr>
                <w:rFonts w:ascii="Times New Roman" w:hAnsi="Times New Roman" w:eastAsia="Times New Roman" w:cs="Times New Roman"/>
                <w:b w:val="0"/>
                <w:color w:val="000000"/>
              </w:rPr>
              <w:t>Board of Governors of the Federal Reserve System. SR 11-7: Guidance on Model Risk Management. (April 4, 2011). URL</w:t>
            </w:r>
          </w:p>
          <w:p>
            <w:pPr>
              <w:spacing w:after="0"/>
              <w:jc w:val="both"/>
            </w:pPr>
            <w:r>
              <w:rPr>
                <w:rFonts w:ascii="Times New Roman" w:hAnsi="Times New Roman" w:eastAsia="Times New Roman" w:cs="Times New Roman"/>
                <w:b w:val="0"/>
                <w:color w:val="000000"/>
              </w:rPr>
              <w:t>Emanuel Moss, Elizabeth Watkins, Ranjit Singh, Madeleine Clare Elish, Jacob Metcalf. 2021. Assembling Accountability: Algorithmic Impact Assessment for the Public Interest. (June 29, 2021). URL</w:t>
            </w:r>
          </w:p>
          <w:p>
            <w:pPr>
              <w:spacing w:after="0"/>
              <w:jc w:val="both"/>
            </w:pPr>
            <w:r>
              <w:rPr>
                <w:rFonts w:ascii="Times New Roman" w:hAnsi="Times New Roman" w:eastAsia="Times New Roman" w:cs="Times New Roman"/>
                <w:b w:val="0"/>
                <w:color w:val="000000"/>
              </w:rPr>
              <w:t>Fraser, Henry L and Bello y Villarino, Jose-Miguel, Where Residual Risks Reside: A Comparative Approach to Art 9(4) of the European Union's Proposed AI Regulation (September 30, 2021). URL</w:t>
            </w:r>
          </w:p>
          <w:p>
            <w:pPr>
              <w:spacing w:after="0"/>
              <w:jc w:val="both"/>
            </w:pPr>
            <w:r>
              <w:rPr>
                <w:rFonts w:ascii="Times New Roman" w:hAnsi="Times New Roman" w:eastAsia="Times New Roman" w:cs="Times New Roman"/>
                <w:b w:val="0"/>
                <w:color w:val="000000"/>
              </w:rPr>
              <w:t>Microsoft. 2022. Microsoft Responsible AI Impact Assessment Template. (June 2022). URL</w:t>
            </w:r>
          </w:p>
          <w:p>
            <w:pPr>
              <w:spacing w:after="0"/>
              <w:jc w:val="both"/>
            </w:pPr>
            <w:r>
              <w:rPr>
                <w:rFonts w:ascii="Times New Roman" w:hAnsi="Times New Roman" w:eastAsia="Times New Roman" w:cs="Times New Roman"/>
                <w:b w:val="0"/>
                <w:color w:val="000000"/>
              </w:rPr>
              <w:t>Office of the Comptroller of the Currency. 2021. Comptroller's Handbook: Model Risk Management, Version 1.0, August 2021. URL</w:t>
            </w:r>
          </w:p>
          <w:p>
            <w:pPr>
              <w:spacing w:after="0"/>
              <w:jc w:val="both"/>
            </w:pPr>
            <w:r>
              <w:rPr>
                <w:rFonts w:ascii="Times New Roman" w:hAnsi="Times New Roman" w:eastAsia="Times New Roman" w:cs="Times New Roman"/>
                <w:b w:val="0"/>
                <w:color w:val="000000"/>
              </w:rPr>
              <w:t>Solon Barocas, Asia J. Biega, Benjamin Fish, et al. 2020. When not to design, build, or deploy. In Proceedings of the 2020 Conference on Fairness, Accountability, and Transparency (FAT* '20). Association for Computing Machinery, New York, NY, USA, 695. URL</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center"/>
            </w:pPr>
            <w:r>
              <w:rPr>
                <w:rFonts w:ascii="Times New Roman" w:hAnsi="Times New Roman" w:eastAsia="Times New Roman" w:cs="Times New Roman"/>
                <w:b/>
                <w:color w:val="000000"/>
              </w:rPr>
              <w:t>MANAGE 1.3</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Responses to the AI risks deemed high priority as identified by the Map function, are developed, planned, and documented. Risk response options can include mitigating, transferring, avoiding, or accepting.</w:t>
            </w:r>
          </w:p>
        </w:tc>
      </w:tr>
      <w:tr w:rsidR="00864629" w14:paraId="750BA288" w14:textId="77777777" w:rsidTr="00864629">
        <w:tc>
          <w:tcPr>
            <w:tcW w:w="10790" w:type="dxa"/>
            <w:shd w:val="clear" w:color="auto" w:fill="D9E2F3" w:themeFill="accent1" w:themeFillTint="33"/>
          </w:tcPr>
          <w:p>
            <w:pPr>
              <w:jc w:val="center"/>
            </w:pPr>
            <w:r>
              <w:rPr>
                <w:rFonts w:ascii="Times New Roman" w:hAnsi="Times New Roman" w:eastAsia="Times New Roman" w:cs="Times New Roman"/>
                <w:b/>
                <w:color w:val="000000"/>
              </w:rPr>
              <w:t>About</w:t>
            </w:r>
          </w:p>
        </w:tc>
      </w:tr>
      <w:tr w:rsidR="00864629" w14:paraId="45DC7C0B" w14:textId="77777777" w:rsidTr="00864629">
        <w:tc>
          <w:tcPr>
            <w:tcW w:w="10790" w:type="dxa"/>
          </w:tcPr>
          <w:p>
            <w:pPr>
              <w:spacing w:after="0"/>
              <w:jc w:val="both"/>
            </w:pPr>
            <w:r>
              <w:rPr>
                <w:rFonts w:ascii="Times New Roman" w:hAnsi="Times New Roman" w:eastAsia="Times New Roman" w:cs="Times New Roman"/>
                <w:b w:val="0"/>
                <w:color w:val="000000"/>
              </w:rPr>
              <w:t>Outcomes from GOVERN-1, MAP-5 and MEASURE-2, can be used to address and document identified risks based on established risk tolerances. Organizations can follow existing regulations and guidelines for risk criteria, tolerances and responses established by organizational, domain, discipline, sector, or professional requirements.</w:t>
            </w:r>
          </w:p>
          <w:p>
            <w:pPr>
              <w:spacing w:after="0"/>
              <w:jc w:val="both"/>
            </w:pPr>
            <w:r>
              <w:rPr>
                <w:rFonts w:ascii="Times New Roman" w:hAnsi="Times New Roman" w:eastAsia="Times New Roman" w:cs="Times New Roman"/>
                <w:b w:val="0"/>
                <w:color w:val="000000"/>
              </w:rPr>
              <w:t>In lieu of such guidance, organizations can develop risk response plans based on strategies such as accepted model risk management, enterprise risk management, and information sharing and disclosure practices.</w:t>
            </w:r>
          </w:p>
        </w:tc>
      </w:tr>
      <w:tr w:rsidR="00864629" w14:paraId="4BA0ACB4"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spacing w:after="0"/>
              <w:ind w:left="403" w:hanging="259"/>
              <w:jc w:val="both"/>
            </w:pPr>
            <w:r>
              <w:rPr>
                <w:rFonts w:ascii="Times New Roman" w:hAnsi="Times New Roman" w:eastAsia="Times New Roman" w:cs="Times New Roman"/>
                <w:b w:val="0"/>
                <w:color w:val="000000"/>
              </w:rPr>
              <w:t>•</w:t>
              <w:tab/>
              <w:t>Observe regulatory and established organizational, sector, discipline, or professional standards and requirements for applying risk tolerances within the organization.</w:t>
            </w:r>
          </w:p>
          <w:p>
            <w:pPr>
              <w:spacing w:after="0"/>
              <w:ind w:left="403" w:hanging="259"/>
              <w:jc w:val="both"/>
            </w:pPr>
            <w:r>
              <w:rPr>
                <w:rFonts w:ascii="Times New Roman" w:hAnsi="Times New Roman" w:eastAsia="Times New Roman" w:cs="Times New Roman"/>
                <w:b w:val="0"/>
                <w:color w:val="000000"/>
              </w:rPr>
              <w:t>•</w:t>
              <w:tab/>
              <w:t>Document procedures for acting on AI system risks related to trustworthiness characteristics.</w:t>
            </w:r>
          </w:p>
          <w:p>
            <w:pPr>
              <w:spacing w:after="0"/>
              <w:ind w:left="403" w:hanging="259"/>
              <w:jc w:val="both"/>
            </w:pPr>
            <w:r>
              <w:rPr>
                <w:rFonts w:ascii="Times New Roman" w:hAnsi="Times New Roman" w:eastAsia="Times New Roman" w:cs="Times New Roman"/>
                <w:b w:val="0"/>
                <w:color w:val="000000"/>
              </w:rPr>
              <w:t>•</w:t>
              <w:tab/>
              <w:t>Prioritize risks involving physical safety, legal liabilities, regulatory compliance, and negative impacts on individuals, groups, or society.</w:t>
            </w:r>
          </w:p>
          <w:p>
            <w:pPr>
              <w:spacing w:after="0"/>
              <w:ind w:left="403" w:hanging="259"/>
              <w:jc w:val="both"/>
            </w:pPr>
            <w:r>
              <w:rPr>
                <w:rFonts w:ascii="Times New Roman" w:hAnsi="Times New Roman" w:eastAsia="Times New Roman" w:cs="Times New Roman"/>
                <w:b w:val="0"/>
                <w:color w:val="000000"/>
              </w:rPr>
              <w:t>•</w:t>
              <w:tab/>
              <w:t>Identify risk response plans and resources and organizational teams for carrying out response functions.</w:t>
            </w:r>
          </w:p>
          <w:p>
            <w:pPr>
              <w:spacing w:after="0"/>
              <w:ind w:left="403" w:hanging="259"/>
              <w:jc w:val="both"/>
            </w:pPr>
            <w:r>
              <w:rPr>
                <w:rFonts w:ascii="Times New Roman" w:hAnsi="Times New Roman" w:eastAsia="Times New Roman" w:cs="Times New Roman"/>
                <w:b w:val="0"/>
                <w:color w:val="000000"/>
              </w:rPr>
              <w:t>•</w:t>
              <w:tab/>
              <w:t>Store risk management and system documentation in an organized, secure repository that is accessible by relevant AI Actors and appropriate personnel.</w:t>
            </w:r>
          </w:p>
        </w:tc>
      </w:tr>
      <w:tr w:rsidR="00AC5C09" w14:paraId="0DFBFC7A"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color w:val="000000"/>
              </w:rPr>
              <w:t>Organizations can document the following</w:t>
            </w:r>
          </w:p>
          <w:p>
            <w:pPr>
              <w:spacing w:after="0"/>
              <w:ind w:left="403" w:hanging="259"/>
              <w:jc w:val="both"/>
            </w:pPr>
            <w:r>
              <w:rPr>
                <w:rFonts w:ascii="Times New Roman" w:hAnsi="Times New Roman" w:eastAsia="Times New Roman" w:cs="Times New Roman"/>
                <w:b w:val="0"/>
                <w:color w:val="000000"/>
              </w:rPr>
              <w:t>•</w:t>
              <w:tab/>
              <w:t>Has the system been reviewed to ensure the AI system complies with relevant laws, regulations, standards, and guidance?</w:t>
            </w:r>
          </w:p>
          <w:p>
            <w:pPr>
              <w:spacing w:after="0"/>
              <w:ind w:left="403" w:hanging="259"/>
              <w:jc w:val="both"/>
            </w:pPr>
            <w:r>
              <w:rPr>
                <w:rFonts w:ascii="Times New Roman" w:hAnsi="Times New Roman" w:eastAsia="Times New Roman" w:cs="Times New Roman"/>
                <w:b w:val="0"/>
                <w:color w:val="000000"/>
              </w:rPr>
              <w:t>•</w:t>
              <w:tab/>
              <w:t>To what extent has the entity defined and documented the regulatory environment—including minimum requirements in laws and regulations?</w:t>
            </w:r>
          </w:p>
          <w:p>
            <w:pPr>
              <w:spacing w:after="0"/>
              <w:ind w:left="403" w:hanging="259"/>
              <w:jc w:val="both"/>
            </w:pPr>
            <w:r>
              <w:rPr>
                <w:rFonts w:ascii="Times New Roman" w:hAnsi="Times New Roman" w:eastAsia="Times New Roman" w:cs="Times New Roman"/>
                <w:b w:val="0"/>
                <w:color w:val="000000"/>
              </w:rPr>
              <w:t>•</w:t>
              <w:tab/>
              <w:t>Did your organization implement a risk management system to address risks involved in deploying the identified AI solution (e.g. personnel risk or changes to commercial objectives)?</w:t>
            </w:r>
          </w:p>
          <w:p>
            <w:pPr>
              <w:spacing w:after="0"/>
              <w:jc w:val="both"/>
            </w:pPr>
            <w:r>
              <w:rPr>
                <w:rFonts w:ascii="Times New Roman" w:hAnsi="Times New Roman" w:eastAsia="Times New Roman" w:cs="Times New Roman"/>
                <w:b/>
                <w:color w:val="000000"/>
              </w:rPr>
              <w:t>AI Transparency Resources</w:t>
            </w:r>
          </w:p>
          <w:p>
            <w:pPr>
              <w:spacing w:after="0"/>
              <w:ind w:left="403" w:hanging="259"/>
              <w:jc w:val="both"/>
            </w:pPr>
            <w:r>
              <w:rPr>
                <w:rFonts w:ascii="Times New Roman" w:hAnsi="Times New Roman" w:eastAsia="Times New Roman" w:cs="Times New Roman"/>
                <w:b w:val="0"/>
                <w:color w:val="000000"/>
              </w:rPr>
              <w:t>•</w:t>
              <w:tab/>
              <w:t>GAO-21-519SP - Artificial Intelligence: An Accountability Framework for Federal Agencies &amp; Other Entities. URL</w:t>
            </w:r>
          </w:p>
          <w:p>
            <w:pPr>
              <w:spacing w:after="0"/>
              <w:ind w:left="403" w:hanging="259"/>
              <w:jc w:val="both"/>
            </w:pPr>
            <w:r>
              <w:rPr>
                <w:rFonts w:ascii="Times New Roman" w:hAnsi="Times New Roman" w:eastAsia="Times New Roman" w:cs="Times New Roman"/>
                <w:b w:val="0"/>
                <w:color w:val="000000"/>
              </w:rPr>
              <w:t>•</w:t>
              <w:tab/>
              <w:t>Datasheets for Datasets. URL</w:t>
            </w:r>
          </w:p>
        </w:tc>
      </w:tr>
      <w:tr w:rsidR="00AC5C09" w14:paraId="0D73A2CD"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val="0"/>
                <w:color w:val="000000"/>
              </w:rPr>
              <w:t>Arvind Narayanan. How to recognize AI snake oil. Retrieved October 15, 2022. URL</w:t>
            </w:r>
          </w:p>
          <w:p>
            <w:pPr>
              <w:spacing w:after="0"/>
              <w:jc w:val="both"/>
            </w:pPr>
            <w:r>
              <w:rPr>
                <w:rFonts w:ascii="Times New Roman" w:hAnsi="Times New Roman" w:eastAsia="Times New Roman" w:cs="Times New Roman"/>
                <w:b w:val="0"/>
                <w:color w:val="000000"/>
              </w:rPr>
              <w:t>Board of Governors of the Federal Reserve System. SR 11-7: Guidance on Model Risk Management. (April 4, 2011). URL</w:t>
            </w:r>
          </w:p>
          <w:p>
            <w:pPr>
              <w:spacing w:after="0"/>
              <w:jc w:val="both"/>
            </w:pPr>
            <w:r>
              <w:rPr>
                <w:rFonts w:ascii="Times New Roman" w:hAnsi="Times New Roman" w:eastAsia="Times New Roman" w:cs="Times New Roman"/>
                <w:b w:val="0"/>
                <w:color w:val="000000"/>
              </w:rPr>
              <w:t>Emanuel Moss, Elizabeth Watkins, Ranjit Singh, Madeleine Clare Elish, Jacob Metcalf. 2021. Assembling Accountability: Algorithmic Impact Assessment for the Public Interest. (June 29, 2021). URL</w:t>
            </w:r>
          </w:p>
          <w:p>
            <w:pPr>
              <w:spacing w:after="0"/>
              <w:jc w:val="both"/>
            </w:pPr>
            <w:r>
              <w:rPr>
                <w:rFonts w:ascii="Times New Roman" w:hAnsi="Times New Roman" w:eastAsia="Times New Roman" w:cs="Times New Roman"/>
                <w:b w:val="0"/>
                <w:color w:val="000000"/>
              </w:rPr>
              <w:t>Fraser, Henry L and Bello y Villarino, Jose-Miguel, Where Residual Risks Reside: A Comparative Approach to Art 9(4) of the European Union's Proposed AI Regulation (September 30, 2021). URL</w:t>
            </w:r>
          </w:p>
          <w:p>
            <w:pPr>
              <w:spacing w:after="0"/>
              <w:jc w:val="both"/>
            </w:pPr>
            <w:r>
              <w:rPr>
                <w:rFonts w:ascii="Times New Roman" w:hAnsi="Times New Roman" w:eastAsia="Times New Roman" w:cs="Times New Roman"/>
                <w:b w:val="0"/>
                <w:color w:val="000000"/>
              </w:rPr>
              <w:t>Microsoft. 2022. Microsoft Responsible AI Impact Assessment Template. (June 2022). URL</w:t>
            </w:r>
          </w:p>
          <w:p>
            <w:pPr>
              <w:spacing w:after="0"/>
              <w:jc w:val="both"/>
            </w:pPr>
            <w:r>
              <w:rPr>
                <w:rFonts w:ascii="Times New Roman" w:hAnsi="Times New Roman" w:eastAsia="Times New Roman" w:cs="Times New Roman"/>
                <w:b w:val="0"/>
                <w:color w:val="000000"/>
              </w:rPr>
              <w:t>Office of the Comptroller of the Currency. 2021. Comptroller's Handbook: Model Risk Management, Version 1.0, August 2021. URL</w:t>
            </w:r>
          </w:p>
          <w:p>
            <w:pPr>
              <w:spacing w:after="0"/>
              <w:jc w:val="both"/>
            </w:pPr>
            <w:r>
              <w:rPr>
                <w:rFonts w:ascii="Times New Roman" w:hAnsi="Times New Roman" w:eastAsia="Times New Roman" w:cs="Times New Roman"/>
                <w:b w:val="0"/>
                <w:color w:val="000000"/>
              </w:rPr>
              <w:t>Solon Barocas, Asia J. Biega, Benjamin Fish, et al. 2020. When not to design, build, or deploy. In Proceedings of the 2020 Conference on Fairness, Accountability, and Transparency (FAT* '20). Association for Computing Machinery, New York, NY, USA, 695. URL</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center"/>
            </w:pPr>
            <w:r>
              <w:rPr>
                <w:rFonts w:ascii="Times New Roman" w:hAnsi="Times New Roman" w:eastAsia="Times New Roman" w:cs="Times New Roman"/>
                <w:b/>
                <w:color w:val="000000"/>
              </w:rPr>
              <w:t>MANAGE 1.4</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Negative residual risks (defined as the sum of all unmitigated risks) to both downstream acquirers of AI systems and end users are documented.</w:t>
            </w:r>
          </w:p>
        </w:tc>
      </w:tr>
      <w:tr w:rsidR="00864629" w14:paraId="750BA288" w14:textId="77777777" w:rsidTr="00864629">
        <w:tc>
          <w:tcPr>
            <w:tcW w:w="10790" w:type="dxa"/>
            <w:shd w:val="clear" w:color="auto" w:fill="D9E2F3" w:themeFill="accent1" w:themeFillTint="33"/>
          </w:tcPr>
          <w:p>
            <w:pPr>
              <w:jc w:val="center"/>
            </w:pPr>
            <w:r>
              <w:rPr>
                <w:rFonts w:ascii="Times New Roman" w:hAnsi="Times New Roman" w:eastAsia="Times New Roman" w:cs="Times New Roman"/>
                <w:b/>
                <w:color w:val="000000"/>
              </w:rPr>
              <w:t>About</w:t>
            </w:r>
          </w:p>
        </w:tc>
      </w:tr>
      <w:tr w:rsidR="00864629" w14:paraId="45DC7C0B" w14:textId="77777777" w:rsidTr="00864629">
        <w:tc>
          <w:tcPr>
            <w:tcW w:w="10790" w:type="dxa"/>
          </w:tcPr>
          <w:p>
            <w:pPr>
              <w:spacing w:after="0"/>
              <w:jc w:val="both"/>
            </w:pPr>
            <w:r>
              <w:rPr>
                <w:rFonts w:ascii="Times New Roman" w:hAnsi="Times New Roman" w:eastAsia="Times New Roman" w:cs="Times New Roman"/>
                <w:b w:val="0"/>
                <w:color w:val="000000"/>
              </w:rPr>
              <w:t>Organizations may choose to accept or transfer some of the documented risks from MAP and MANAGE 1.3 and 2.1. Such risks, known as residual risk, may affect downstream AI actors such as those engaged in system procurement or use. Transparent monitoring and managing residual risks enables cost benefit analysis and the examination of potential values of AI systems versus its potential negative impacts.</w:t>
            </w:r>
          </w:p>
        </w:tc>
      </w:tr>
      <w:tr w:rsidR="00864629" w14:paraId="4BA0ACB4"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spacing w:after="0"/>
              <w:ind w:left="403" w:hanging="259"/>
              <w:jc w:val="both"/>
            </w:pPr>
            <w:r>
              <w:rPr>
                <w:rFonts w:ascii="Times New Roman" w:hAnsi="Times New Roman" w:eastAsia="Times New Roman" w:cs="Times New Roman"/>
                <w:b w:val="0"/>
                <w:color w:val="000000"/>
              </w:rPr>
              <w:t>•</w:t>
              <w:tab/>
              <w:t>Document residual risks within risk response plans, denoting risks that have been accepted, transferred, or subject to minimal mitigation.</w:t>
            </w:r>
          </w:p>
          <w:p>
            <w:pPr>
              <w:spacing w:after="0"/>
              <w:ind w:left="403" w:hanging="259"/>
              <w:jc w:val="both"/>
            </w:pPr>
            <w:r>
              <w:rPr>
                <w:rFonts w:ascii="Times New Roman" w:hAnsi="Times New Roman" w:eastAsia="Times New Roman" w:cs="Times New Roman"/>
                <w:b w:val="0"/>
                <w:color w:val="000000"/>
              </w:rPr>
              <w:t>•</w:t>
              <w:tab/>
              <w:t>Establish procedures for disclosing residual risks to relevant downstream AI actors.</w:t>
            </w:r>
          </w:p>
          <w:p>
            <w:pPr>
              <w:spacing w:after="0"/>
              <w:ind w:left="403" w:hanging="259"/>
              <w:jc w:val="both"/>
            </w:pPr>
            <w:r>
              <w:rPr>
                <w:rFonts w:ascii="Times New Roman" w:hAnsi="Times New Roman" w:eastAsia="Times New Roman" w:cs="Times New Roman"/>
                <w:b w:val="0"/>
                <w:color w:val="000000"/>
              </w:rPr>
              <w:t>•</w:t>
              <w:tab/>
              <w:t>Inform relevant downstream AI actors of requirements for safe operation, known limitations, and suggested warning labels as identified in MAP 3.4.</w:t>
            </w:r>
          </w:p>
        </w:tc>
      </w:tr>
      <w:tr w:rsidR="00AC5C09" w14:paraId="0DFBFC7A"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color w:val="000000"/>
              </w:rPr>
              <w:t>Organizations can document the following</w:t>
            </w:r>
          </w:p>
          <w:p>
            <w:pPr>
              <w:spacing w:after="0"/>
              <w:ind w:left="403" w:hanging="259"/>
              <w:jc w:val="both"/>
            </w:pPr>
            <w:r>
              <w:rPr>
                <w:rFonts w:ascii="Times New Roman" w:hAnsi="Times New Roman" w:eastAsia="Times New Roman" w:cs="Times New Roman"/>
                <w:b w:val="0"/>
                <w:color w:val="000000"/>
              </w:rPr>
              <w:t>•</w:t>
              <w:tab/>
              <w:t>What are the roles, responsibilities, and delegation of authorities of personnel involved in the design, development, deployment, assessment and monitoring of the AI system?</w:t>
            </w:r>
          </w:p>
          <w:p>
            <w:pPr>
              <w:spacing w:after="0"/>
              <w:ind w:left="403" w:hanging="259"/>
              <w:jc w:val="both"/>
            </w:pPr>
            <w:r>
              <w:rPr>
                <w:rFonts w:ascii="Times New Roman" w:hAnsi="Times New Roman" w:eastAsia="Times New Roman" w:cs="Times New Roman"/>
                <w:b w:val="0"/>
                <w:color w:val="000000"/>
              </w:rPr>
              <w:t>•</w:t>
              <w:tab/>
              <w:t>Who will be responsible for maintaining, re-verifying, monitoring, and updating this AI once deployed?</w:t>
            </w:r>
          </w:p>
          <w:p>
            <w:pPr>
              <w:spacing w:after="0"/>
              <w:ind w:left="403" w:hanging="259"/>
              <w:jc w:val="both"/>
            </w:pPr>
            <w:r>
              <w:rPr>
                <w:rFonts w:ascii="Times New Roman" w:hAnsi="Times New Roman" w:eastAsia="Times New Roman" w:cs="Times New Roman"/>
                <w:b w:val="0"/>
                <w:color w:val="000000"/>
              </w:rPr>
              <w:t>•</w:t>
              <w:tab/>
              <w:t>How will updates/revisions be documented and communicated? How often and by whom?</w:t>
            </w:r>
          </w:p>
          <w:p>
            <w:pPr>
              <w:spacing w:after="0"/>
              <w:ind w:left="403" w:hanging="259"/>
              <w:jc w:val="both"/>
            </w:pPr>
            <w:r>
              <w:rPr>
                <w:rFonts w:ascii="Times New Roman" w:hAnsi="Times New Roman" w:eastAsia="Times New Roman" w:cs="Times New Roman"/>
                <w:b w:val="0"/>
                <w:color w:val="000000"/>
              </w:rPr>
              <w:t>•</w:t>
              <w:tab/>
              <w:t>How easily accessible and current is the information available to external stakeholders?</w:t>
            </w:r>
          </w:p>
          <w:p>
            <w:pPr>
              <w:spacing w:after="0"/>
              <w:jc w:val="both"/>
            </w:pPr>
            <w:r>
              <w:rPr>
                <w:rFonts w:ascii="Times New Roman" w:hAnsi="Times New Roman" w:eastAsia="Times New Roman" w:cs="Times New Roman"/>
                <w:b/>
                <w:color w:val="000000"/>
              </w:rPr>
              <w:t>AI Transparency Resources</w:t>
            </w:r>
          </w:p>
          <w:p>
            <w:pPr>
              <w:spacing w:after="0"/>
              <w:ind w:left="403" w:hanging="259"/>
              <w:jc w:val="both"/>
            </w:pPr>
            <w:r>
              <w:rPr>
                <w:rFonts w:ascii="Times New Roman" w:hAnsi="Times New Roman" w:eastAsia="Times New Roman" w:cs="Times New Roman"/>
                <w:b w:val="0"/>
                <w:color w:val="000000"/>
              </w:rPr>
              <w:t>•</w:t>
              <w:tab/>
              <w:t>GAO-21-519SP - Artificial Intelligence: An Accountability Framework for Federal Agencies &amp; Other Entities. URL</w:t>
            </w:r>
          </w:p>
          <w:p>
            <w:pPr>
              <w:spacing w:after="0"/>
              <w:ind w:left="403" w:hanging="259"/>
              <w:jc w:val="both"/>
            </w:pPr>
            <w:r>
              <w:rPr>
                <w:rFonts w:ascii="Times New Roman" w:hAnsi="Times New Roman" w:eastAsia="Times New Roman" w:cs="Times New Roman"/>
                <w:b w:val="0"/>
                <w:color w:val="000000"/>
              </w:rPr>
              <w:t>•</w:t>
              <w:tab/>
              <w:t>Artificial Intelligence Ethics Framework For The Intelligence Community. URL</w:t>
            </w:r>
          </w:p>
          <w:p>
            <w:pPr>
              <w:spacing w:after="0"/>
              <w:ind w:left="403" w:hanging="259"/>
              <w:jc w:val="both"/>
            </w:pPr>
            <w:r>
              <w:rPr>
                <w:rFonts w:ascii="Times New Roman" w:hAnsi="Times New Roman" w:eastAsia="Times New Roman" w:cs="Times New Roman"/>
                <w:b w:val="0"/>
                <w:color w:val="000000"/>
              </w:rPr>
              <w:t>•</w:t>
              <w:tab/>
              <w:t>Datasheets for Datasets. URL</w:t>
            </w:r>
          </w:p>
        </w:tc>
      </w:tr>
      <w:tr w:rsidR="00AC5C09" w14:paraId="0D73A2CD"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val="0"/>
                <w:color w:val="000000"/>
              </w:rPr>
              <w:t>Arvind Narayanan. How to recognize AI snake oil. Retrieved October 15, 2022. URL</w:t>
            </w:r>
          </w:p>
          <w:p>
            <w:pPr>
              <w:spacing w:after="0"/>
              <w:jc w:val="both"/>
            </w:pPr>
            <w:r>
              <w:rPr>
                <w:rFonts w:ascii="Times New Roman" w:hAnsi="Times New Roman" w:eastAsia="Times New Roman" w:cs="Times New Roman"/>
                <w:b w:val="0"/>
                <w:color w:val="000000"/>
              </w:rPr>
              <w:t>Board of Governors of the Federal Reserve System. SR 11-7: Guidance on Model Risk Management. (April 4, 2011). URL</w:t>
            </w:r>
          </w:p>
          <w:p>
            <w:pPr>
              <w:spacing w:after="0"/>
              <w:jc w:val="both"/>
            </w:pPr>
            <w:r>
              <w:rPr>
                <w:rFonts w:ascii="Times New Roman" w:hAnsi="Times New Roman" w:eastAsia="Times New Roman" w:cs="Times New Roman"/>
                <w:b w:val="0"/>
                <w:color w:val="000000"/>
              </w:rPr>
              <w:t>Emanuel Moss, Elizabeth Watkins, Ranjit Singh, Madeleine Clare Elish, Jacob Metcalf. 2021. Assembling Accountability: Algorithmic Impact Assessment for the Public Interest. (June 29, 2021). URL</w:t>
            </w:r>
          </w:p>
          <w:p>
            <w:pPr>
              <w:spacing w:after="0"/>
              <w:jc w:val="both"/>
            </w:pPr>
            <w:r>
              <w:rPr>
                <w:rFonts w:ascii="Times New Roman" w:hAnsi="Times New Roman" w:eastAsia="Times New Roman" w:cs="Times New Roman"/>
                <w:b w:val="0"/>
                <w:color w:val="000000"/>
              </w:rPr>
              <w:t>Fraser, Henry L and Bello y Villarino, Jose-Miguel, Where Residual Risks Reside: A Comparative Approach to Art 9(4) of the European Union's Proposed AI Regulation (September 30, 2021). URL</w:t>
            </w:r>
          </w:p>
          <w:p>
            <w:pPr>
              <w:spacing w:after="0"/>
              <w:jc w:val="both"/>
            </w:pPr>
            <w:r>
              <w:rPr>
                <w:rFonts w:ascii="Times New Roman" w:hAnsi="Times New Roman" w:eastAsia="Times New Roman" w:cs="Times New Roman"/>
                <w:b w:val="0"/>
                <w:color w:val="000000"/>
              </w:rPr>
              <w:t>Microsoft. 2022. Microsoft Responsible AI Impact Assessment Template. (June 2022). URL</w:t>
            </w:r>
          </w:p>
          <w:p>
            <w:pPr>
              <w:spacing w:after="0"/>
              <w:jc w:val="both"/>
            </w:pPr>
            <w:r>
              <w:rPr>
                <w:rFonts w:ascii="Times New Roman" w:hAnsi="Times New Roman" w:eastAsia="Times New Roman" w:cs="Times New Roman"/>
                <w:b w:val="0"/>
                <w:color w:val="000000"/>
              </w:rPr>
              <w:t>Office of the Comptroller of the Currency. 2021. Comptroller's Handbook: Model Risk Management, Version 1.0, August 2021. URL</w:t>
            </w:r>
          </w:p>
          <w:p>
            <w:pPr>
              <w:spacing w:after="0"/>
              <w:jc w:val="both"/>
            </w:pPr>
            <w:r>
              <w:rPr>
                <w:rFonts w:ascii="Times New Roman" w:hAnsi="Times New Roman" w:eastAsia="Times New Roman" w:cs="Times New Roman"/>
                <w:b w:val="0"/>
                <w:color w:val="000000"/>
              </w:rPr>
              <w:t>Solon Barocas, Asia J. Biega, Benjamin Fish, et al. 2020. When not to design, build, or deploy. In Proceedings of the 2020 Conference on Fairness, Accountability, and Transparency (FAT* '20). Association for Computing Machinery, New York, NY, USA, 695. URL</w:t>
            </w:r>
          </w:p>
        </w:tc>
      </w:tr>
    </w:tbl>
    <w:p/>
    <w:tbl>
      <w:tblPr>
        <w:tblStyle w:val="TableGrid"/>
        <w:tblW w:w="0" w:type="auto"/>
        <w:tblLook w:val="04A0" w:firstRow="1" w:lastRow="0" w:firstColumn="1" w:lastColumn="0" w:noHBand="0" w:noVBand="1"/>
      </w:tblPr>
      <w:tblGrid>
        <w:gridCol w:w="10790"/>
      </w:tblGrid>
      <w:tr w:rsidR="00864629" w:rsidRPr="00864629" w14:paraId="663ABB0E" w14:textId="77777777" w:rsidTr="00195326">
        <w:tc>
          <w:tcPr>
            <w:tcW w:w="10790" w:type="dxa"/>
            <w:shd w:val="clear" w:color="auto" w:fill="8EAADB" w:themeFill="accent1" w:themeFillTint="99"/>
          </w:tcPr>
          <w:p>
            <w:pPr>
              <w:pStyle w:val="Heading2"/>
              <w:jc w:val="center"/>
            </w:pPr>
            <w:r>
              <w:rPr>
                <w:rFonts w:ascii="Times New Roman" w:hAnsi="Times New Roman" w:eastAsia="Times New Roman" w:cs="Times New Roman"/>
                <w:b/>
                <w:color w:val="000000"/>
              </w:rPr>
              <w:t>Manage 2</w:t>
            </w:r>
          </w:p>
        </w:tc>
      </w:tr>
      <w:tr w:rsidR="00864629" w14:paraId="50FA61A0" w14:textId="77777777" w:rsidTr="00195326">
        <w:tc>
          <w:tcPr>
            <w:tcW w:w="10790" w:type="dxa"/>
          </w:tcPr>
          <w:p>
            <w:pPr>
              <w:jc w:val="both"/>
            </w:pPr>
            <w:r>
              <w:rPr>
                <w:rFonts w:ascii="Times New Roman" w:hAnsi="Times New Roman" w:eastAsia="Times New Roman" w:cs="Times New Roman"/>
                <w:color w:val="000000"/>
              </w:rPr>
              <w:t>Strategies to maximize AI benefits and minimize negative impacts are planned, prepared, implemented, and documented, and informed by input from relevant AI actors.</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center"/>
            </w:pPr>
            <w:r>
              <w:rPr>
                <w:rFonts w:ascii="Times New Roman" w:hAnsi="Times New Roman" w:eastAsia="Times New Roman" w:cs="Times New Roman"/>
                <w:b/>
                <w:color w:val="000000"/>
              </w:rPr>
              <w:t>MANAGE 2.1</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Resources required to manage AI risks are taken into account, along with viable non-AI alternative systems, approaches, or methods – to reduce the magnitude or likelihood of potential impacts.</w:t>
            </w:r>
          </w:p>
        </w:tc>
      </w:tr>
      <w:tr w:rsidR="00864629" w14:paraId="750BA288" w14:textId="77777777" w:rsidTr="00864629">
        <w:tc>
          <w:tcPr>
            <w:tcW w:w="10790" w:type="dxa"/>
            <w:shd w:val="clear" w:color="auto" w:fill="D9E2F3" w:themeFill="accent1" w:themeFillTint="33"/>
          </w:tcPr>
          <w:p>
            <w:pPr>
              <w:jc w:val="center"/>
            </w:pPr>
            <w:r>
              <w:rPr>
                <w:rFonts w:ascii="Times New Roman" w:hAnsi="Times New Roman" w:eastAsia="Times New Roman" w:cs="Times New Roman"/>
                <w:b/>
                <w:color w:val="000000"/>
              </w:rPr>
              <w:t>About</w:t>
            </w:r>
          </w:p>
        </w:tc>
      </w:tr>
      <w:tr w:rsidR="00864629" w14:paraId="45DC7C0B" w14:textId="77777777" w:rsidTr="00864629">
        <w:tc>
          <w:tcPr>
            <w:tcW w:w="10790" w:type="dxa"/>
          </w:tcPr>
          <w:p>
            <w:pPr>
              <w:spacing w:after="0"/>
              <w:jc w:val="both"/>
            </w:pPr>
            <w:r>
              <w:rPr>
                <w:rFonts w:ascii="Times New Roman" w:hAnsi="Times New Roman" w:eastAsia="Times New Roman" w:cs="Times New Roman"/>
                <w:b w:val="0"/>
                <w:color w:val="000000"/>
              </w:rPr>
              <w:t>Organizational risk response may entail identifying and analyzing alternative approaches, methods, processes or systems, and balancing tradeoffs between trustworthiness characteristics and how they relate to organizational principles and societal values. Analysis of these tradeoffs is informed by consulting with interdisciplinary organizational teams, independent domain experts, and engaging with individuals or community groups. These processes require sufficient resource allocation.</w:t>
            </w:r>
          </w:p>
        </w:tc>
      </w:tr>
      <w:tr w:rsidR="00864629" w14:paraId="4BA0ACB4"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spacing w:after="0"/>
              <w:ind w:left="403" w:hanging="259"/>
              <w:jc w:val="both"/>
            </w:pPr>
            <w:r>
              <w:rPr>
                <w:rFonts w:ascii="Times New Roman" w:hAnsi="Times New Roman" w:eastAsia="Times New Roman" w:cs="Times New Roman"/>
                <w:b w:val="0"/>
                <w:color w:val="000000"/>
              </w:rPr>
              <w:t>•</w:t>
              <w:tab/>
              <w:t>Plan and implement risk management practices in accordance with established organizational risk tolerances.</w:t>
            </w:r>
          </w:p>
          <w:p>
            <w:pPr>
              <w:spacing w:after="0"/>
              <w:ind w:left="403" w:hanging="259"/>
              <w:jc w:val="both"/>
            </w:pPr>
            <w:r>
              <w:rPr>
                <w:rFonts w:ascii="Times New Roman" w:hAnsi="Times New Roman" w:eastAsia="Times New Roman" w:cs="Times New Roman"/>
                <w:b w:val="0"/>
                <w:color w:val="000000"/>
              </w:rPr>
              <w:t>•</w:t>
              <w:tab/>
              <w:t>Verify risk management teams are resourced to carry out functions, including</w:t>
            </w:r>
          </w:p>
          <w:p>
            <w:pPr>
              <w:spacing w:after="0"/>
              <w:ind w:left="792" w:hanging="259"/>
              <w:jc w:val="both"/>
            </w:pPr>
            <w:r>
              <w:rPr>
                <w:rFonts w:ascii="Times New Roman" w:hAnsi="Times New Roman" w:eastAsia="Times New Roman" w:cs="Times New Roman"/>
                <w:b w:val="0"/>
                <w:color w:val="000000"/>
              </w:rPr>
              <w:t>•</w:t>
              <w:tab/>
              <w:t>Establishing processes for considering methods that are not automated; semi-automated; or other procedural alternatives for AI functions.</w:t>
            </w:r>
          </w:p>
          <w:p>
            <w:pPr>
              <w:spacing w:after="0"/>
              <w:ind w:left="792" w:hanging="259"/>
              <w:jc w:val="both"/>
            </w:pPr>
            <w:r>
              <w:rPr>
                <w:rFonts w:ascii="Times New Roman" w:hAnsi="Times New Roman" w:eastAsia="Times New Roman" w:cs="Times New Roman"/>
                <w:b w:val="0"/>
                <w:color w:val="000000"/>
              </w:rPr>
              <w:t>•</w:t>
              <w:tab/>
              <w:t>Enhance AI system transparency mechanisms for AI teams.</w:t>
            </w:r>
          </w:p>
          <w:p>
            <w:pPr>
              <w:spacing w:after="0"/>
              <w:ind w:left="792" w:hanging="259"/>
              <w:jc w:val="both"/>
            </w:pPr>
            <w:r>
              <w:rPr>
                <w:rFonts w:ascii="Times New Roman" w:hAnsi="Times New Roman" w:eastAsia="Times New Roman" w:cs="Times New Roman"/>
                <w:b w:val="0"/>
                <w:color w:val="000000"/>
              </w:rPr>
              <w:t>•</w:t>
              <w:tab/>
              <w:t>Enable exploration of AI system limitations by AI teams.</w:t>
            </w:r>
          </w:p>
          <w:p>
            <w:pPr>
              <w:spacing w:after="0"/>
              <w:ind w:left="792" w:hanging="259"/>
              <w:jc w:val="both"/>
            </w:pPr>
            <w:r>
              <w:rPr>
                <w:rFonts w:ascii="Times New Roman" w:hAnsi="Times New Roman" w:eastAsia="Times New Roman" w:cs="Times New Roman"/>
                <w:b w:val="0"/>
                <w:color w:val="000000"/>
              </w:rPr>
              <w:t>•</w:t>
              <w:tab/>
              <w:t>Identify, assess, and catalog past failed designs and negative impacts or outcomes to avoid known failure modes.</w:t>
            </w:r>
          </w:p>
          <w:p>
            <w:pPr>
              <w:spacing w:after="0"/>
              <w:ind w:left="403" w:hanging="259"/>
              <w:jc w:val="both"/>
            </w:pPr>
            <w:r>
              <w:rPr>
                <w:rFonts w:ascii="Times New Roman" w:hAnsi="Times New Roman" w:eastAsia="Times New Roman" w:cs="Times New Roman"/>
                <w:b w:val="0"/>
                <w:color w:val="000000"/>
              </w:rPr>
              <w:t>•</w:t>
              <w:tab/>
              <w:t>Identify resource allocation approaches for managing risks in systems:</w:t>
            </w:r>
          </w:p>
          <w:p>
            <w:pPr>
              <w:spacing w:after="0"/>
              <w:ind w:left="792" w:hanging="259"/>
              <w:jc w:val="both"/>
            </w:pPr>
            <w:r>
              <w:rPr>
                <w:rFonts w:ascii="Times New Roman" w:hAnsi="Times New Roman" w:eastAsia="Times New Roman" w:cs="Times New Roman"/>
                <w:b w:val="0"/>
                <w:color w:val="000000"/>
              </w:rPr>
              <w:t>•</w:t>
              <w:tab/>
              <w:t>deemed high-risk,</w:t>
            </w:r>
          </w:p>
          <w:p>
            <w:pPr>
              <w:spacing w:after="0"/>
              <w:ind w:left="792" w:hanging="259"/>
              <w:jc w:val="both"/>
            </w:pPr>
            <w:r>
              <w:rPr>
                <w:rFonts w:ascii="Times New Roman" w:hAnsi="Times New Roman" w:eastAsia="Times New Roman" w:cs="Times New Roman"/>
                <w:b w:val="0"/>
                <w:color w:val="000000"/>
              </w:rPr>
              <w:t>•</w:t>
              <w:tab/>
              <w:t>that self-update (adaptive, online, reinforcement self-supervised learning or similar),</w:t>
            </w:r>
          </w:p>
          <w:p>
            <w:pPr>
              <w:spacing w:after="0"/>
              <w:ind w:left="792" w:hanging="259"/>
              <w:jc w:val="both"/>
            </w:pPr>
            <w:r>
              <w:rPr>
                <w:rFonts w:ascii="Times New Roman" w:hAnsi="Times New Roman" w:eastAsia="Times New Roman" w:cs="Times New Roman"/>
                <w:b w:val="0"/>
                <w:color w:val="000000"/>
              </w:rPr>
              <w:t>•</w:t>
              <w:tab/>
              <w:t>trained without access to ground truth (unsupervised, semi-supervised, learning or similar),</w:t>
            </w:r>
          </w:p>
          <w:p>
            <w:pPr>
              <w:spacing w:after="0"/>
              <w:ind w:left="792" w:hanging="259"/>
              <w:jc w:val="both"/>
            </w:pPr>
            <w:r>
              <w:rPr>
                <w:rFonts w:ascii="Times New Roman" w:hAnsi="Times New Roman" w:eastAsia="Times New Roman" w:cs="Times New Roman"/>
                <w:b w:val="0"/>
                <w:color w:val="000000"/>
              </w:rPr>
              <w:t>•</w:t>
              <w:tab/>
              <w:t>with high uncertainty or where risk management is insufficient.</w:t>
            </w:r>
          </w:p>
          <w:p>
            <w:pPr>
              <w:spacing w:after="0"/>
              <w:ind w:left="403" w:hanging="259"/>
              <w:jc w:val="both"/>
            </w:pPr>
            <w:r>
              <w:rPr>
                <w:rFonts w:ascii="Times New Roman" w:hAnsi="Times New Roman" w:eastAsia="Times New Roman" w:cs="Times New Roman"/>
                <w:b w:val="0"/>
                <w:color w:val="000000"/>
              </w:rPr>
              <w:t>•</w:t>
              <w:tab/>
              <w:t>Regularly seek and integrate external expertise and perspectives to supplement organizational diversity (e.g. demographic, disciplinary), equity, inclusion, and accessibility where internal capacity is lacking.</w:t>
            </w:r>
          </w:p>
          <w:p>
            <w:pPr>
              <w:spacing w:after="0"/>
              <w:ind w:left="403" w:hanging="259"/>
              <w:jc w:val="both"/>
            </w:pPr>
            <w:r>
              <w:rPr>
                <w:rFonts w:ascii="Times New Roman" w:hAnsi="Times New Roman" w:eastAsia="Times New Roman" w:cs="Times New Roman"/>
                <w:b w:val="0"/>
                <w:color w:val="000000"/>
              </w:rPr>
              <w:t>•</w:t>
              <w:tab/>
              <w:t>Enable and encourage regular, open communication and feedback among AI actors and internal or external stakeholders related to system design or deployment decisions.</w:t>
            </w:r>
          </w:p>
          <w:p>
            <w:pPr>
              <w:spacing w:after="0"/>
              <w:ind w:left="403" w:hanging="259"/>
              <w:jc w:val="both"/>
            </w:pPr>
            <w:r>
              <w:rPr>
                <w:rFonts w:ascii="Times New Roman" w:hAnsi="Times New Roman" w:eastAsia="Times New Roman" w:cs="Times New Roman"/>
                <w:b w:val="0"/>
                <w:color w:val="000000"/>
              </w:rPr>
              <w:t>•</w:t>
              <w:tab/>
              <w:t>Prepare and document plans for continuous monitoring and feedback mechanisms.</w:t>
            </w:r>
          </w:p>
        </w:tc>
      </w:tr>
      <w:tr w:rsidR="00AC5C09" w14:paraId="0DFBFC7A"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color w:val="000000"/>
              </w:rPr>
              <w:t>Organizations can document the following</w:t>
            </w:r>
          </w:p>
          <w:p>
            <w:pPr>
              <w:spacing w:after="0"/>
              <w:ind w:left="403" w:hanging="259"/>
              <w:jc w:val="both"/>
            </w:pPr>
            <w:r>
              <w:rPr>
                <w:rFonts w:ascii="Times New Roman" w:hAnsi="Times New Roman" w:eastAsia="Times New Roman" w:cs="Times New Roman"/>
                <w:b w:val="0"/>
                <w:color w:val="000000"/>
              </w:rPr>
              <w:t>•</w:t>
              <w:tab/>
              <w:t>Are mechanisms in place to evaluate whether internal teams are empowered and resourced to effectively carry out risk management functions?</w:t>
            </w:r>
          </w:p>
          <w:p>
            <w:pPr>
              <w:spacing w:after="0"/>
              <w:ind w:left="403" w:hanging="259"/>
              <w:jc w:val="both"/>
            </w:pPr>
            <w:r>
              <w:rPr>
                <w:rFonts w:ascii="Times New Roman" w:hAnsi="Times New Roman" w:eastAsia="Times New Roman" w:cs="Times New Roman"/>
                <w:b w:val="0"/>
                <w:color w:val="000000"/>
              </w:rPr>
              <w:t>•</w:t>
              <w:tab/>
              <w:t>How will user and other forms of stakeholder engagement be integrated into risk management processes?</w:t>
            </w:r>
          </w:p>
          <w:p>
            <w:pPr>
              <w:spacing w:after="0"/>
              <w:jc w:val="both"/>
            </w:pPr>
            <w:r>
              <w:rPr>
                <w:rFonts w:ascii="Times New Roman" w:hAnsi="Times New Roman" w:eastAsia="Times New Roman" w:cs="Times New Roman"/>
                <w:b/>
                <w:color w:val="000000"/>
              </w:rPr>
              <w:t>AI Transparency Resources</w:t>
            </w:r>
          </w:p>
          <w:p>
            <w:pPr>
              <w:spacing w:after="0"/>
              <w:ind w:left="403" w:hanging="259"/>
              <w:jc w:val="both"/>
            </w:pPr>
            <w:r>
              <w:rPr>
                <w:rFonts w:ascii="Times New Roman" w:hAnsi="Times New Roman" w:eastAsia="Times New Roman" w:cs="Times New Roman"/>
                <w:b w:val="0"/>
                <w:color w:val="000000"/>
              </w:rPr>
              <w:t>•</w:t>
              <w:tab/>
              <w:t>Artificial Intelligence Ethics Framework For The Intelligence Community. URL</w:t>
            </w:r>
          </w:p>
          <w:p>
            <w:pPr>
              <w:spacing w:after="0"/>
              <w:ind w:left="403" w:hanging="259"/>
              <w:jc w:val="both"/>
            </w:pPr>
            <w:r>
              <w:rPr>
                <w:rFonts w:ascii="Times New Roman" w:hAnsi="Times New Roman" w:eastAsia="Times New Roman" w:cs="Times New Roman"/>
                <w:b w:val="0"/>
                <w:color w:val="000000"/>
              </w:rPr>
              <w:t>•</w:t>
              <w:tab/>
              <w:t>Datasheets for Datasets. URL</w:t>
            </w:r>
          </w:p>
          <w:p>
            <w:pPr>
              <w:spacing w:after="0"/>
              <w:ind w:left="403" w:hanging="259"/>
              <w:jc w:val="both"/>
            </w:pPr>
            <w:r>
              <w:rPr>
                <w:rFonts w:ascii="Times New Roman" w:hAnsi="Times New Roman" w:eastAsia="Times New Roman" w:cs="Times New Roman"/>
                <w:b w:val="0"/>
                <w:color w:val="000000"/>
              </w:rPr>
              <w:t>•</w:t>
              <w:tab/>
              <w:t>GAO-21-519SP - Artificial Intelligence: An Accountability Framework for Federal Agencies &amp; Other Entities. URL</w:t>
            </w:r>
          </w:p>
        </w:tc>
      </w:tr>
      <w:tr w:rsidR="00AC5C09" w14:paraId="0D73A2CD"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val="0"/>
                <w:color w:val="000000"/>
              </w:rPr>
              <w:t>Board of Governors of the Federal Reserve System. SR 11-7: Guidance on Model Risk Management. (April 4, 2011). URL</w:t>
            </w:r>
          </w:p>
          <w:p>
            <w:pPr>
              <w:spacing w:after="0"/>
              <w:jc w:val="both"/>
            </w:pPr>
            <w:r>
              <w:rPr>
                <w:rFonts w:ascii="Times New Roman" w:hAnsi="Times New Roman" w:eastAsia="Times New Roman" w:cs="Times New Roman"/>
                <w:b w:val="0"/>
                <w:color w:val="000000"/>
              </w:rPr>
              <w:t>David Wright. 2013. Making Privacy Impact Assessments More Effective. The Information Society, 29 (Oct 2013), 307-315. URL</w:t>
            </w:r>
          </w:p>
          <w:p>
            <w:pPr>
              <w:spacing w:after="0"/>
              <w:jc w:val="both"/>
            </w:pPr>
            <w:r>
              <w:rPr>
                <w:rFonts w:ascii="Times New Roman" w:hAnsi="Times New Roman" w:eastAsia="Times New Roman" w:cs="Times New Roman"/>
                <w:b w:val="0"/>
                <w:color w:val="000000"/>
              </w:rPr>
              <w:t>Margaret Mitchell, Simone Wu, Andrew Zaldivar, et al. 2019. Model Cards for Model Reporting. In Proceedings of the Conference on Fairness, Accountability, and Transparency (FAT* '19). Association for Computing Machinery, New York, NY, USA, 220–229. URL</w:t>
            </w:r>
          </w:p>
          <w:p>
            <w:pPr>
              <w:spacing w:after="0"/>
              <w:jc w:val="both"/>
            </w:pPr>
            <w:r>
              <w:rPr>
                <w:rFonts w:ascii="Times New Roman" w:hAnsi="Times New Roman" w:eastAsia="Times New Roman" w:cs="Times New Roman"/>
                <w:b w:val="0"/>
                <w:color w:val="000000"/>
              </w:rPr>
              <w:t>Office of the Comptroller of the Currency. 2021. Comptroller's Handbook: Model Risk Management, Version 1.0, August 2021. URL</w:t>
            </w:r>
          </w:p>
          <w:p>
            <w:pPr>
              <w:spacing w:after="0"/>
              <w:jc w:val="both"/>
            </w:pPr>
            <w:r>
              <w:rPr>
                <w:rFonts w:ascii="Times New Roman" w:hAnsi="Times New Roman" w:eastAsia="Times New Roman" w:cs="Times New Roman"/>
                <w:b w:val="0"/>
                <w:color w:val="000000"/>
              </w:rPr>
              <w:t>Timnit Gebru, Jamie Morgenstern, Briana Vecchione, et al. 2021. Datasheets for Datasets. arXiv:1803.09010. URL</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center"/>
            </w:pPr>
            <w:r>
              <w:rPr>
                <w:rFonts w:ascii="Times New Roman" w:hAnsi="Times New Roman" w:eastAsia="Times New Roman" w:cs="Times New Roman"/>
                <w:b/>
                <w:color w:val="000000"/>
              </w:rPr>
              <w:t>MANAGE 2.2</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Mechanisms are in place and applied to sustain the value of deployed AI systems.</w:t>
            </w:r>
          </w:p>
        </w:tc>
      </w:tr>
      <w:tr w:rsidR="00864629" w14:paraId="750BA288" w14:textId="77777777" w:rsidTr="00864629">
        <w:tc>
          <w:tcPr>
            <w:tcW w:w="10790" w:type="dxa"/>
            <w:shd w:val="clear" w:color="auto" w:fill="D9E2F3" w:themeFill="accent1" w:themeFillTint="33"/>
          </w:tcPr>
          <w:p>
            <w:pPr>
              <w:jc w:val="center"/>
            </w:pPr>
            <w:r>
              <w:rPr>
                <w:rFonts w:ascii="Times New Roman" w:hAnsi="Times New Roman" w:eastAsia="Times New Roman" w:cs="Times New Roman"/>
                <w:b/>
                <w:color w:val="000000"/>
              </w:rPr>
              <w:t>About</w:t>
            </w:r>
          </w:p>
        </w:tc>
      </w:tr>
      <w:tr w:rsidR="00864629" w14:paraId="45DC7C0B" w14:textId="77777777" w:rsidTr="00864629">
        <w:tc>
          <w:tcPr>
            <w:tcW w:w="10790" w:type="dxa"/>
          </w:tcPr>
          <w:p>
            <w:pPr>
              <w:spacing w:after="0"/>
              <w:jc w:val="both"/>
            </w:pPr>
            <w:r>
              <w:rPr>
                <w:rFonts w:ascii="Times New Roman" w:hAnsi="Times New Roman" w:eastAsia="Times New Roman" w:cs="Times New Roman"/>
                <w:b w:val="0"/>
                <w:color w:val="000000"/>
              </w:rPr>
              <w:t>System performance and trustworthiness may evolve and shift over time, once an AI system is deployed and put into operation. This phenomenon, generally known as drift, can degrade the value of the AI system to the organization and increase the likelihood of negative impacts. Regular monitoring of AI systems’ performance and trustworthiness enhances organizations’ ability to detect and respond to drift, and thus sustain an AI system’s value once deployed.</w:t>
            </w:r>
          </w:p>
          <w:p>
            <w:pPr>
              <w:spacing w:after="0"/>
              <w:jc w:val="both"/>
            </w:pPr>
            <w:r>
              <w:rPr>
                <w:rFonts w:ascii="Times New Roman" w:hAnsi="Times New Roman" w:eastAsia="Times New Roman" w:cs="Times New Roman"/>
                <w:b w:val="0"/>
                <w:color w:val="000000"/>
              </w:rPr>
              <w:t>Processes and mechanisms for regular monitoring address system functionality and behavior - as well as impacts and alignment with the values and norms within the specific context of use. For example, considerations regarding impacts on personal or public safety or privacy may include limiting high speeds when operating autonomous vehicles or restricting illicit content recommendations for minors.</w:t>
            </w:r>
          </w:p>
          <w:p>
            <w:pPr>
              <w:spacing w:after="0"/>
              <w:jc w:val="both"/>
            </w:pPr>
            <w:r>
              <w:rPr>
                <w:rFonts w:ascii="Times New Roman" w:hAnsi="Times New Roman" w:eastAsia="Times New Roman" w:cs="Times New Roman"/>
                <w:b w:val="0"/>
                <w:color w:val="000000"/>
              </w:rPr>
              <w:t>Regular monitoring activities can enable organizations to systematically and proactively identify emergent risks and respond according to established protocols and metrics. Options for organizational responses include 1) avoiding the risk, 2) accepting the risk, 3) mitigating the risk, or 4) transferring the risk. Each of these actions require planning and resources.</w:t>
            </w:r>
          </w:p>
          <w:p>
            <w:pPr>
              <w:spacing w:after="0"/>
              <w:jc w:val="both"/>
            </w:pPr>
            <w:r>
              <w:rPr>
                <w:rFonts w:ascii="Times New Roman" w:hAnsi="Times New Roman" w:eastAsia="Times New Roman" w:cs="Times New Roman"/>
                <w:b w:val="0"/>
                <w:color w:val="000000"/>
              </w:rPr>
              <w:t>Organizations are encouraged to establish risk management protocols with consideration of the trustworthiness characteristics, the deployment context, and real world impacts.</w:t>
            </w:r>
          </w:p>
        </w:tc>
      </w:tr>
      <w:tr w:rsidR="00864629" w14:paraId="4BA0ACB4"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spacing w:after="0"/>
              <w:ind w:left="403" w:hanging="259"/>
              <w:jc w:val="both"/>
            </w:pPr>
            <w:r>
              <w:rPr>
                <w:rFonts w:ascii="Times New Roman" w:hAnsi="Times New Roman" w:eastAsia="Times New Roman" w:cs="Times New Roman"/>
                <w:b w:val="0"/>
                <w:color w:val="000000"/>
              </w:rPr>
              <w:t>•</w:t>
              <w:tab/>
              <w:t>Establish risk controls considering trustworthiness characteristics, including:</w:t>
            </w:r>
          </w:p>
          <w:p>
            <w:pPr>
              <w:spacing w:after="0"/>
              <w:ind w:left="792" w:hanging="259"/>
              <w:jc w:val="both"/>
            </w:pPr>
            <w:r>
              <w:rPr>
                <w:rFonts w:ascii="Times New Roman" w:hAnsi="Times New Roman" w:eastAsia="Times New Roman" w:cs="Times New Roman"/>
                <w:b w:val="0"/>
                <w:color w:val="000000"/>
              </w:rPr>
              <w:t>•</w:t>
              <w:tab/>
              <w:t>Data management, quality, and privacy (e.g. minimization, rectification or deletion requests) controls as part of organizational data governance policies.</w:t>
            </w:r>
          </w:p>
          <w:p>
            <w:pPr>
              <w:spacing w:after="0"/>
              <w:ind w:left="792" w:hanging="259"/>
              <w:jc w:val="both"/>
            </w:pPr>
            <w:r>
              <w:rPr>
                <w:rFonts w:ascii="Times New Roman" w:hAnsi="Times New Roman" w:eastAsia="Times New Roman" w:cs="Times New Roman"/>
                <w:b w:val="0"/>
                <w:color w:val="000000"/>
              </w:rPr>
              <w:t>•</w:t>
              <w:tab/>
              <w:t>Machine learning and end-point security countermeasures (e.g., robust models, differential privacy, authentication, throttling).</w:t>
            </w:r>
          </w:p>
          <w:p>
            <w:pPr>
              <w:spacing w:after="0"/>
              <w:ind w:left="792" w:hanging="259"/>
              <w:jc w:val="both"/>
            </w:pPr>
            <w:r>
              <w:rPr>
                <w:rFonts w:ascii="Times New Roman" w:hAnsi="Times New Roman" w:eastAsia="Times New Roman" w:cs="Times New Roman"/>
                <w:b w:val="0"/>
                <w:color w:val="000000"/>
              </w:rPr>
              <w:t>•</w:t>
              <w:tab/>
              <w:t>Business rules that augment, limit or restrict AI system outputs within certain contexts.</w:t>
            </w:r>
          </w:p>
          <w:p>
            <w:pPr>
              <w:spacing w:after="0"/>
              <w:ind w:left="792" w:hanging="259"/>
              <w:jc w:val="both"/>
            </w:pPr>
            <w:r>
              <w:rPr>
                <w:rFonts w:ascii="Times New Roman" w:hAnsi="Times New Roman" w:eastAsia="Times New Roman" w:cs="Times New Roman"/>
                <w:b w:val="0"/>
                <w:color w:val="000000"/>
              </w:rPr>
              <w:t>•</w:t>
              <w:tab/>
              <w:t>Utilizing domain expertise related to deployment context for continuous improvement and TEVV across the AI lifecycle.</w:t>
            </w:r>
          </w:p>
          <w:p>
            <w:pPr>
              <w:spacing w:after="0"/>
              <w:ind w:left="792" w:hanging="259"/>
              <w:jc w:val="both"/>
            </w:pPr>
            <w:r>
              <w:rPr>
                <w:rFonts w:ascii="Times New Roman" w:hAnsi="Times New Roman" w:eastAsia="Times New Roman" w:cs="Times New Roman"/>
                <w:b w:val="0"/>
                <w:color w:val="000000"/>
              </w:rPr>
              <w:t>•</w:t>
              <w:tab/>
              <w:t>Development and regular tracking of human-AI teaming configurations.</w:t>
            </w:r>
          </w:p>
          <w:p>
            <w:pPr>
              <w:spacing w:after="0"/>
              <w:ind w:left="792" w:hanging="259"/>
              <w:jc w:val="both"/>
            </w:pPr>
            <w:r>
              <w:rPr>
                <w:rFonts w:ascii="Times New Roman" w:hAnsi="Times New Roman" w:eastAsia="Times New Roman" w:cs="Times New Roman"/>
                <w:b w:val="0"/>
                <w:color w:val="000000"/>
              </w:rPr>
              <w:t>•</w:t>
              <w:tab/>
              <w:t>Model assessment and test, evaluation, validation and verification (TEVV) protocols.</w:t>
            </w:r>
          </w:p>
          <w:p>
            <w:pPr>
              <w:spacing w:after="0"/>
              <w:ind w:left="792" w:hanging="259"/>
              <w:jc w:val="both"/>
            </w:pPr>
            <w:r>
              <w:rPr>
                <w:rFonts w:ascii="Times New Roman" w:hAnsi="Times New Roman" w:eastAsia="Times New Roman" w:cs="Times New Roman"/>
                <w:b w:val="0"/>
                <w:color w:val="000000"/>
              </w:rPr>
              <w:t>•</w:t>
              <w:tab/>
              <w:t>Use of standardized documentation and transparency mechanisms.</w:t>
            </w:r>
          </w:p>
          <w:p>
            <w:pPr>
              <w:spacing w:after="0"/>
              <w:ind w:left="792" w:hanging="259"/>
              <w:jc w:val="both"/>
            </w:pPr>
            <w:r>
              <w:rPr>
                <w:rFonts w:ascii="Times New Roman" w:hAnsi="Times New Roman" w:eastAsia="Times New Roman" w:cs="Times New Roman"/>
                <w:b w:val="0"/>
                <w:color w:val="000000"/>
              </w:rPr>
              <w:t>•</w:t>
              <w:tab/>
              <w:t>Software quality assurance practices across AI lifecycle.</w:t>
            </w:r>
          </w:p>
          <w:p>
            <w:pPr>
              <w:spacing w:after="0"/>
              <w:ind w:left="792" w:hanging="259"/>
              <w:jc w:val="both"/>
            </w:pPr>
            <w:r>
              <w:rPr>
                <w:rFonts w:ascii="Times New Roman" w:hAnsi="Times New Roman" w:eastAsia="Times New Roman" w:cs="Times New Roman"/>
                <w:b w:val="0"/>
                <w:color w:val="000000"/>
              </w:rPr>
              <w:t>•</w:t>
              <w:tab/>
              <w:t>Mechanisms to explore system limitations and avoid past failed designs or deployments.</w:t>
            </w:r>
          </w:p>
          <w:p>
            <w:pPr>
              <w:spacing w:after="0"/>
              <w:ind w:left="403" w:hanging="259"/>
              <w:jc w:val="both"/>
            </w:pPr>
            <w:r>
              <w:rPr>
                <w:rFonts w:ascii="Times New Roman" w:hAnsi="Times New Roman" w:eastAsia="Times New Roman" w:cs="Times New Roman"/>
                <w:b w:val="0"/>
                <w:color w:val="000000"/>
              </w:rPr>
              <w:t>•</w:t>
              <w:tab/>
              <w:t>Establish mechanisms to capture feedback from system end users and potentially impacted groups while system is in deployment.</w:t>
            </w:r>
          </w:p>
          <w:p>
            <w:pPr>
              <w:spacing w:after="0"/>
              <w:ind w:left="403" w:hanging="259"/>
              <w:jc w:val="both"/>
            </w:pPr>
            <w:r>
              <w:rPr>
                <w:rFonts w:ascii="Times New Roman" w:hAnsi="Times New Roman" w:eastAsia="Times New Roman" w:cs="Times New Roman"/>
                <w:b w:val="0"/>
                <w:color w:val="000000"/>
              </w:rPr>
              <w:t>•</w:t>
              <w:tab/>
              <w:t>Establish mechanisms to capture feedback from system end users and potentially impacted groups about how changes in system deployment (e.g., introducing new technology, decommissioning algorithms and models, adapting system, model or algorithm) may create negative impacts that are not visible along the AI lifecycle.</w:t>
            </w:r>
          </w:p>
          <w:p>
            <w:pPr>
              <w:spacing w:after="0"/>
              <w:ind w:left="403" w:hanging="259"/>
              <w:jc w:val="both"/>
            </w:pPr>
            <w:r>
              <w:rPr>
                <w:rFonts w:ascii="Times New Roman" w:hAnsi="Times New Roman" w:eastAsia="Times New Roman" w:cs="Times New Roman"/>
                <w:b w:val="0"/>
                <w:color w:val="000000"/>
              </w:rPr>
              <w:t>•</w:t>
              <w:tab/>
              <w:t>Review insurance policies, warranties, or contracts for legal or oversight requirements for risk transfer procedures.</w:t>
            </w:r>
          </w:p>
          <w:p>
            <w:pPr>
              <w:spacing w:after="0"/>
              <w:ind w:left="403" w:hanging="259"/>
              <w:jc w:val="both"/>
            </w:pPr>
            <w:r>
              <w:rPr>
                <w:rFonts w:ascii="Times New Roman" w:hAnsi="Times New Roman" w:eastAsia="Times New Roman" w:cs="Times New Roman"/>
                <w:b w:val="0"/>
                <w:color w:val="000000"/>
              </w:rPr>
              <w:t>•</w:t>
              <w:tab/>
              <w:t>Document risk tolerance decisions and risk acceptance procedures.</w:t>
            </w:r>
          </w:p>
        </w:tc>
      </w:tr>
      <w:tr w:rsidR="00AC5C09" w14:paraId="0DFBFC7A"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color w:val="000000"/>
              </w:rPr>
              <w:t>Organizations can document the following</w:t>
            </w:r>
          </w:p>
          <w:p>
            <w:pPr>
              <w:spacing w:after="0"/>
              <w:ind w:left="403" w:hanging="259"/>
              <w:jc w:val="both"/>
            </w:pPr>
            <w:r>
              <w:rPr>
                <w:rFonts w:ascii="Times New Roman" w:hAnsi="Times New Roman" w:eastAsia="Times New Roman" w:cs="Times New Roman"/>
                <w:b w:val="0"/>
                <w:color w:val="000000"/>
              </w:rPr>
              <w:t>•</w:t>
              <w:tab/>
              <w:t>To what extent can users or parties affected by the outputs of the AI system test the AI system and provide feedback?</w:t>
            </w:r>
          </w:p>
          <w:p>
            <w:pPr>
              <w:spacing w:after="0"/>
              <w:ind w:left="403" w:hanging="259"/>
              <w:jc w:val="both"/>
            </w:pPr>
            <w:r>
              <w:rPr>
                <w:rFonts w:ascii="Times New Roman" w:hAnsi="Times New Roman" w:eastAsia="Times New Roman" w:cs="Times New Roman"/>
                <w:b w:val="0"/>
                <w:color w:val="000000"/>
              </w:rPr>
              <w:t>•</w:t>
              <w:tab/>
              <w:t>Could the AI system expose people to harm or negative impacts? What was done to mitigate or reduce the potential for harm?</w:t>
            </w:r>
          </w:p>
          <w:p>
            <w:pPr>
              <w:spacing w:after="0"/>
              <w:ind w:left="403" w:hanging="259"/>
              <w:jc w:val="both"/>
            </w:pPr>
            <w:r>
              <w:rPr>
                <w:rFonts w:ascii="Times New Roman" w:hAnsi="Times New Roman" w:eastAsia="Times New Roman" w:cs="Times New Roman"/>
                <w:b w:val="0"/>
                <w:color w:val="000000"/>
              </w:rPr>
              <w:t>•</w:t>
              <w:tab/>
              <w:t>How will the accountable human(s) address changes in accuracy and precision due to either an adversary’s attempts to disrupt the AI or unrelated changes in the operational or business environment?</w:t>
            </w:r>
          </w:p>
          <w:p>
            <w:pPr>
              <w:spacing w:after="0"/>
              <w:jc w:val="both"/>
            </w:pPr>
            <w:r>
              <w:rPr>
                <w:rFonts w:ascii="Times New Roman" w:hAnsi="Times New Roman" w:eastAsia="Times New Roman" w:cs="Times New Roman"/>
                <w:b/>
                <w:color w:val="000000"/>
              </w:rPr>
              <w:t>AI Transparency Resources</w:t>
            </w:r>
          </w:p>
          <w:p>
            <w:pPr>
              <w:spacing w:after="0"/>
              <w:ind w:left="403" w:hanging="259"/>
              <w:jc w:val="both"/>
            </w:pPr>
            <w:r>
              <w:rPr>
                <w:rFonts w:ascii="Times New Roman" w:hAnsi="Times New Roman" w:eastAsia="Times New Roman" w:cs="Times New Roman"/>
                <w:b w:val="0"/>
                <w:color w:val="000000"/>
              </w:rPr>
              <w:t>•</w:t>
              <w:tab/>
              <w:t>GAO-21-519SP - Artificial Intelligence: An Accountability Framework for Federal Agencies &amp; Other Entities. URL</w:t>
            </w:r>
          </w:p>
          <w:p>
            <w:pPr>
              <w:spacing w:after="0"/>
              <w:ind w:left="403" w:hanging="259"/>
              <w:jc w:val="both"/>
            </w:pPr>
            <w:r>
              <w:rPr>
                <w:rFonts w:ascii="Times New Roman" w:hAnsi="Times New Roman" w:eastAsia="Times New Roman" w:cs="Times New Roman"/>
                <w:b w:val="0"/>
                <w:color w:val="000000"/>
              </w:rPr>
              <w:t>•</w:t>
              <w:tab/>
              <w:t>Artificial Intelligence Ethics Framework For The Intelligence Community. URL</w:t>
            </w:r>
          </w:p>
        </w:tc>
      </w:tr>
      <w:tr w:rsidR="00AC5C09" w14:paraId="0D73A2CD"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color w:val="000000"/>
              </w:rPr>
              <w:t>Safety, Validity and Reliability Risk Management Approaches and Resources</w:t>
            </w:r>
          </w:p>
          <w:p>
            <w:pPr>
              <w:spacing w:after="0"/>
              <w:jc w:val="both"/>
            </w:pPr>
            <w:r>
              <w:rPr>
                <w:rFonts w:ascii="Times New Roman" w:hAnsi="Times New Roman" w:eastAsia="Times New Roman" w:cs="Times New Roman"/>
                <w:b w:val="0"/>
                <w:color w:val="000000"/>
              </w:rPr>
              <w:t>AI Incident Database. 2022. AI Incident Database. URL</w:t>
            </w:r>
          </w:p>
          <w:p>
            <w:pPr>
              <w:spacing w:after="0"/>
              <w:jc w:val="both"/>
            </w:pPr>
            <w:r>
              <w:rPr>
                <w:rFonts w:ascii="Times New Roman" w:hAnsi="Times New Roman" w:eastAsia="Times New Roman" w:cs="Times New Roman"/>
                <w:b w:val="0"/>
                <w:color w:val="000000"/>
              </w:rPr>
              <w:t>AIAAIC Repository. 2022. AI, algorithmic and automation incidents collected, dissected, examined, and divulged. URL</w:t>
            </w:r>
          </w:p>
          <w:p>
            <w:pPr>
              <w:spacing w:after="0"/>
              <w:jc w:val="both"/>
            </w:pPr>
            <w:r>
              <w:rPr>
                <w:rFonts w:ascii="Times New Roman" w:hAnsi="Times New Roman" w:eastAsia="Times New Roman" w:cs="Times New Roman"/>
                <w:b w:val="0"/>
                <w:color w:val="000000"/>
              </w:rPr>
              <w:t>Alexander D'Amour, Katherine Heller, Dan Moldovan, et al. 2020. Underspecification Presents Challenges for Credibility in Modern Machine Learning. arXiv:2011.03395. URL</w:t>
            </w:r>
          </w:p>
          <w:p>
            <w:pPr>
              <w:spacing w:after="0"/>
              <w:jc w:val="both"/>
            </w:pPr>
            <w:r>
              <w:rPr>
                <w:rFonts w:ascii="Times New Roman" w:hAnsi="Times New Roman" w:eastAsia="Times New Roman" w:cs="Times New Roman"/>
                <w:b w:val="0"/>
                <w:color w:val="000000"/>
              </w:rPr>
              <w:t>Andrew L. Beam, Arjun K. Manrai, Marzyeh Ghassemi. 2020. Challenges to the Reproducibility of Machine Learning Models in Health Care. Jama 323, 4 (January 6, 2020), 305-306. URL</w:t>
            </w:r>
          </w:p>
          <w:p>
            <w:pPr>
              <w:spacing w:after="0"/>
              <w:jc w:val="both"/>
            </w:pPr>
            <w:r>
              <w:rPr>
                <w:rFonts w:ascii="Times New Roman" w:hAnsi="Times New Roman" w:eastAsia="Times New Roman" w:cs="Times New Roman"/>
                <w:b w:val="0"/>
                <w:color w:val="000000"/>
              </w:rPr>
              <w:t>Anthony M. Barrett, Dan Hendrycks, Jessica Newman et al. 2022. Actionable Guidance for High-Consequence AI Risk Management: Towards Standards Addressing AI Catastrophic Risks. arXiv:2206.08966. URL</w:t>
            </w:r>
          </w:p>
          <w:p>
            <w:pPr>
              <w:spacing w:after="0"/>
              <w:jc w:val="both"/>
            </w:pPr>
            <w:r>
              <w:rPr>
                <w:rFonts w:ascii="Times New Roman" w:hAnsi="Times New Roman" w:eastAsia="Times New Roman" w:cs="Times New Roman"/>
                <w:b w:val="0"/>
                <w:color w:val="000000"/>
              </w:rPr>
              <w:t>Debugging Machine Learning Models, In Proceedings of ICLR 2019 Workshop, May 6, 2019, New Orleans, Louisiana. URL</w:t>
            </w:r>
          </w:p>
          <w:p>
            <w:pPr>
              <w:spacing w:after="0"/>
              <w:jc w:val="both"/>
            </w:pPr>
            <w:r>
              <w:rPr>
                <w:rFonts w:ascii="Times New Roman" w:hAnsi="Times New Roman" w:eastAsia="Times New Roman" w:cs="Times New Roman"/>
                <w:b w:val="0"/>
                <w:color w:val="000000"/>
              </w:rPr>
              <w:t>Jessie J. Smith, Saleema Amershi, Solon Barocas, et al. 2022. REAL ML: Recognizing, Exploring, and Articulating Limitations of Machine Learning Research. arXiv:2205.08363. URL</w:t>
            </w:r>
          </w:p>
          <w:p>
            <w:pPr>
              <w:spacing w:after="0"/>
              <w:jc w:val="both"/>
            </w:pPr>
            <w:r>
              <w:rPr>
                <w:rFonts w:ascii="Times New Roman" w:hAnsi="Times New Roman" w:eastAsia="Times New Roman" w:cs="Times New Roman"/>
                <w:b w:val="0"/>
                <w:color w:val="000000"/>
              </w:rPr>
              <w:t>Joelle Pineau, Philippe Vincent-Lamarre, Koustuv Sinha, et al. 2020. Improving Reproducibility in Machine Learning Research (A Report from the NeurIPS 2019 Reproducibility Program) arXiv:2003.12206. URL</w:t>
            </w:r>
          </w:p>
          <w:p>
            <w:pPr>
              <w:spacing w:after="0"/>
              <w:jc w:val="both"/>
            </w:pPr>
            <w:r>
              <w:rPr>
                <w:rFonts w:ascii="Times New Roman" w:hAnsi="Times New Roman" w:eastAsia="Times New Roman" w:cs="Times New Roman"/>
                <w:b w:val="0"/>
                <w:color w:val="000000"/>
              </w:rPr>
              <w:t>Kirstie Whitaker. 2017. Showing your working: a how to guide to reproducible research. (August 2017). URL</w:t>
            </w:r>
          </w:p>
          <w:p>
            <w:pPr>
              <w:spacing w:after="0"/>
              <w:jc w:val="both"/>
            </w:pPr>
            <w:r>
              <w:rPr>
                <w:rFonts w:ascii="Times New Roman" w:hAnsi="Times New Roman" w:eastAsia="Times New Roman" w:cs="Times New Roman"/>
                <w:b w:val="0"/>
                <w:color w:val="000000"/>
              </w:rPr>
              <w:t>Netflix. Chaos Monkey. URL</w:t>
            </w:r>
          </w:p>
          <w:p>
            <w:pPr>
              <w:spacing w:after="0"/>
              <w:jc w:val="both"/>
            </w:pPr>
            <w:r>
              <w:rPr>
                <w:rFonts w:ascii="Times New Roman" w:hAnsi="Times New Roman" w:eastAsia="Times New Roman" w:cs="Times New Roman"/>
                <w:b w:val="0"/>
                <w:color w:val="000000"/>
              </w:rPr>
              <w:t>Peter Henderson, Riashat Islam, Philip Bachman, et al. 2018. Deep reinforcement learning that matters. Proceedings of the AAAI Conference on Artificial Intelligence. 32, 1 (Apr. 2018). URL</w:t>
            </w:r>
          </w:p>
          <w:p>
            <w:pPr>
              <w:spacing w:after="0"/>
              <w:jc w:val="both"/>
            </w:pPr>
            <w:r>
              <w:rPr>
                <w:rFonts w:ascii="Times New Roman" w:hAnsi="Times New Roman" w:eastAsia="Times New Roman" w:cs="Times New Roman"/>
                <w:b w:val="0"/>
                <w:color w:val="000000"/>
              </w:rPr>
              <w:t>Suchi Saria, Adarsh Subbaswamy. 2019. Tutorial: Safe and Reliable Machine Learning. arXiv:1904.07204. URL</w:t>
            </w:r>
          </w:p>
          <w:p>
            <w:pPr>
              <w:spacing w:after="0"/>
              <w:jc w:val="both"/>
            </w:pPr>
            <w:r>
              <w:rPr>
                <w:rFonts w:ascii="Times New Roman" w:hAnsi="Times New Roman" w:eastAsia="Times New Roman" w:cs="Times New Roman"/>
                <w:b w:val="0"/>
                <w:color w:val="000000"/>
              </w:rPr>
              <w:t>Kang, Daniel, Deepti Raghavan, Peter Bailis, and Matei Zaharia. "Model assertions for monitoring and improving ML models." Proceedings of Machine Learning and Systems 2 (2020): 481-496. URL</w:t>
            </w:r>
          </w:p>
          <w:p>
            <w:pPr>
              <w:spacing w:after="0"/>
              <w:jc w:val="both"/>
            </w:pPr>
            <w:r>
              <w:rPr>
                <w:rFonts w:ascii="Times New Roman" w:hAnsi="Times New Roman" w:eastAsia="Times New Roman" w:cs="Times New Roman"/>
                <w:b/>
                <w:color w:val="000000"/>
              </w:rPr>
              <w:t>Managing Risk Bias</w:t>
            </w:r>
          </w:p>
          <w:p>
            <w:pPr>
              <w:spacing w:after="0"/>
              <w:jc w:val="both"/>
            </w:pPr>
            <w:r>
              <w:rPr>
                <w:rFonts w:ascii="Times New Roman" w:hAnsi="Times New Roman" w:eastAsia="Times New Roman" w:cs="Times New Roman"/>
                <w:b w:val="0"/>
                <w:color w:val="000000"/>
              </w:rPr>
              <w:t>National Institute of Standards and Technology (NIST), Reva Schwartz, Apostol Vassilev, et al. 2022. NIST Special Publication 1270 Towards a Standard for Identifying and Managing Bias in Artificial Intelligence. URL</w:t>
            </w:r>
          </w:p>
          <w:p>
            <w:pPr>
              <w:spacing w:after="0"/>
              <w:jc w:val="both"/>
            </w:pPr>
            <w:r>
              <w:rPr>
                <w:rFonts w:ascii="Times New Roman" w:hAnsi="Times New Roman" w:eastAsia="Times New Roman" w:cs="Times New Roman"/>
                <w:b/>
                <w:color w:val="000000"/>
              </w:rPr>
              <w:t>Bias Testing and Remediation Approaches</w:t>
            </w:r>
          </w:p>
          <w:p>
            <w:pPr>
              <w:spacing w:after="0"/>
              <w:jc w:val="both"/>
            </w:pPr>
            <w:r>
              <w:rPr>
                <w:rFonts w:ascii="Times New Roman" w:hAnsi="Times New Roman" w:eastAsia="Times New Roman" w:cs="Times New Roman"/>
                <w:b w:val="0"/>
                <w:color w:val="000000"/>
              </w:rPr>
              <w:t>Alekh Agarwal, Alina Beygelzimer, Miroslav Dudík, et al. 2018. A Reductions Approach to Fair Classification. arXiv:1803.02453. URL</w:t>
            </w:r>
          </w:p>
          <w:p>
            <w:pPr>
              <w:spacing w:after="0"/>
              <w:jc w:val="both"/>
            </w:pPr>
            <w:r>
              <w:rPr>
                <w:rFonts w:ascii="Times New Roman" w:hAnsi="Times New Roman" w:eastAsia="Times New Roman" w:cs="Times New Roman"/>
                <w:b w:val="0"/>
                <w:color w:val="000000"/>
              </w:rPr>
              <w:t>Brian Hu Zhang, Blake Lemoine, Margaret Mitchell. 2018. Mitigating Unwanted Biases with Adversarial Learning. arXiv:1801.07593. URL</w:t>
            </w:r>
          </w:p>
          <w:p>
            <w:pPr>
              <w:spacing w:after="0"/>
              <w:jc w:val="both"/>
            </w:pPr>
            <w:r>
              <w:rPr>
                <w:rFonts w:ascii="Times New Roman" w:hAnsi="Times New Roman" w:eastAsia="Times New Roman" w:cs="Times New Roman"/>
                <w:b w:val="0"/>
                <w:color w:val="000000"/>
              </w:rPr>
              <w:t>Drago Plečko, Nicolas Bennett, Nicolai Meinshausen. 2021. Fairadapt: Causal Reasoning for Fair Data Pre-processing. arXiv:2110.10200. URL</w:t>
            </w:r>
          </w:p>
          <w:p>
            <w:pPr>
              <w:spacing w:after="0"/>
              <w:jc w:val="both"/>
            </w:pPr>
            <w:r>
              <w:rPr>
                <w:rFonts w:ascii="Times New Roman" w:hAnsi="Times New Roman" w:eastAsia="Times New Roman" w:cs="Times New Roman"/>
                <w:b w:val="0"/>
                <w:color w:val="000000"/>
              </w:rPr>
              <w:t>Faisal Kamiran, Toon Calders. 2012. Data Preprocessing Techniques for Classification without Discrimination. Knowledge and Information Systems 33 (2012), 1–33. URL</w:t>
            </w:r>
          </w:p>
          <w:p>
            <w:pPr>
              <w:spacing w:after="0"/>
              <w:jc w:val="both"/>
            </w:pPr>
            <w:r>
              <w:rPr>
                <w:rFonts w:ascii="Times New Roman" w:hAnsi="Times New Roman" w:eastAsia="Times New Roman" w:cs="Times New Roman"/>
                <w:b w:val="0"/>
                <w:color w:val="000000"/>
              </w:rPr>
              <w:t>Faisal Kamiran; Asim Karim; Xiangliang Zhang. 2012. Decision Theory for Discrimination-Aware Classification. In Proceedings of the 2012 IEEE 12th International Conference on Data Mining, December 10-13, 2012, Brussels, Belgium. IEEE, 924-929. URL</w:t>
            </w:r>
          </w:p>
          <w:p>
            <w:pPr>
              <w:spacing w:after="0"/>
              <w:jc w:val="both"/>
            </w:pPr>
            <w:r>
              <w:rPr>
                <w:rFonts w:ascii="Times New Roman" w:hAnsi="Times New Roman" w:eastAsia="Times New Roman" w:cs="Times New Roman"/>
                <w:b w:val="0"/>
                <w:color w:val="000000"/>
              </w:rPr>
              <w:t>Flavio P. Calmon, Dennis Wei, Karthikeyan Natesan Ramamurthy, et al. 2017. Optimized Data Pre-Processing for Discrimination Prevention. arXiv:1704.03354. URL</w:t>
            </w:r>
          </w:p>
          <w:p>
            <w:pPr>
              <w:spacing w:after="0"/>
              <w:jc w:val="both"/>
            </w:pPr>
            <w:r>
              <w:rPr>
                <w:rFonts w:ascii="Times New Roman" w:hAnsi="Times New Roman" w:eastAsia="Times New Roman" w:cs="Times New Roman"/>
                <w:b w:val="0"/>
                <w:color w:val="000000"/>
              </w:rPr>
              <w:t>Geoff Pleiss, Manish Raghavan, Felix Wu, et al. 2017. On Fairness and Calibration. arXiv:1709.02012. URL</w:t>
            </w:r>
          </w:p>
          <w:p>
            <w:pPr>
              <w:spacing w:after="0"/>
              <w:jc w:val="both"/>
            </w:pPr>
            <w:r>
              <w:rPr>
                <w:rFonts w:ascii="Times New Roman" w:hAnsi="Times New Roman" w:eastAsia="Times New Roman" w:cs="Times New Roman"/>
                <w:b w:val="0"/>
                <w:color w:val="000000"/>
              </w:rPr>
              <w:t>L. Elisa Celis, Lingxiao Huang, Vijay Keswani, et al. 2020. Classification with Fairness Constraints: A Meta-Algorithm with Provable Guarantees. arXiv:1806.06055. URL</w:t>
            </w:r>
          </w:p>
          <w:p>
            <w:pPr>
              <w:spacing w:after="0"/>
              <w:jc w:val="both"/>
            </w:pPr>
            <w:r>
              <w:rPr>
                <w:rFonts w:ascii="Times New Roman" w:hAnsi="Times New Roman" w:eastAsia="Times New Roman" w:cs="Times New Roman"/>
                <w:b w:val="0"/>
                <w:color w:val="000000"/>
              </w:rPr>
              <w:t>Michael Feldman, Sorelle Friedler, John Moeller, et al. 2014. Certifying and Removing Disparate Impact. arXiv:1412.3756. URL</w:t>
            </w:r>
          </w:p>
          <w:p>
            <w:pPr>
              <w:spacing w:after="0"/>
              <w:jc w:val="both"/>
            </w:pPr>
            <w:r>
              <w:rPr>
                <w:rFonts w:ascii="Times New Roman" w:hAnsi="Times New Roman" w:eastAsia="Times New Roman" w:cs="Times New Roman"/>
                <w:b w:val="0"/>
                <w:color w:val="000000"/>
              </w:rPr>
              <w:t>Michael Kearns, Seth Neel, Aaron Roth, et al. 2017. Preventing Fairness Gerrymandering: Auditing and Learning for Subgroup Fairness. arXiv:1711.05144. URL</w:t>
            </w:r>
          </w:p>
          <w:p>
            <w:pPr>
              <w:spacing w:after="0"/>
              <w:jc w:val="both"/>
            </w:pPr>
            <w:r>
              <w:rPr>
                <w:rFonts w:ascii="Times New Roman" w:hAnsi="Times New Roman" w:eastAsia="Times New Roman" w:cs="Times New Roman"/>
                <w:b w:val="0"/>
                <w:color w:val="000000"/>
              </w:rPr>
              <w:t>Michael Kearns, Seth Neel, Aaron Roth, et al. 2018. An Empirical Study of Rich Subgroup Fairness for Machine Learning. arXiv:1808.08166. URL</w:t>
            </w:r>
          </w:p>
          <w:p>
            <w:pPr>
              <w:spacing w:after="0"/>
              <w:jc w:val="both"/>
            </w:pPr>
            <w:r>
              <w:rPr>
                <w:rFonts w:ascii="Times New Roman" w:hAnsi="Times New Roman" w:eastAsia="Times New Roman" w:cs="Times New Roman"/>
                <w:b w:val="0"/>
                <w:color w:val="000000"/>
              </w:rPr>
              <w:t>Moritz Hardt, Eric Price, and Nathan Srebro. 2016. Equality of Opportunity in Supervised Learning. In Proceedings of the 30th Conference on Neural Information Processing Systems (NIPS 2016), 2016, Barcelona, Spain. URL</w:t>
            </w:r>
          </w:p>
          <w:p>
            <w:pPr>
              <w:spacing w:after="0"/>
              <w:jc w:val="both"/>
            </w:pPr>
            <w:r>
              <w:rPr>
                <w:rFonts w:ascii="Times New Roman" w:hAnsi="Times New Roman" w:eastAsia="Times New Roman" w:cs="Times New Roman"/>
                <w:b w:val="0"/>
                <w:color w:val="000000"/>
              </w:rPr>
              <w:t>Rich Zemel, Yu Wu, Kevin Swersky, et al. 2013. Learning Fair Representations. In Proceedings of the 30th International Conference on Machine Learning 2013, PMLR 28, 3, 325-333. URL</w:t>
            </w:r>
          </w:p>
          <w:p>
            <w:pPr>
              <w:spacing w:after="0"/>
              <w:jc w:val="both"/>
            </w:pPr>
            <w:r>
              <w:rPr>
                <w:rFonts w:ascii="Times New Roman" w:hAnsi="Times New Roman" w:eastAsia="Times New Roman" w:cs="Times New Roman"/>
                <w:b w:val="0"/>
                <w:color w:val="000000"/>
              </w:rPr>
              <w:t>Toshihiro Kamishima, Shotaro Akaho, Hideki Asoh &amp; Jun Sakuma. 2012. Fairness-Aware Classifier with Prejudice Remover Regularizer. In Peter A. Flach, Tijl De Bie, Nello Cristianini (eds) Machine Learning and Knowledge Discovery in Databases. European Conference ECML PKDD 2012, Proceedings Part II, September 24-28, 2012, Bristol, UK. Lecture Notes in Computer Science 7524. Springer, Berlin, Heidelberg. URL</w:t>
            </w:r>
          </w:p>
          <w:p>
            <w:pPr>
              <w:spacing w:after="0"/>
              <w:jc w:val="both"/>
            </w:pPr>
            <w:r>
              <w:rPr>
                <w:rFonts w:ascii="Times New Roman" w:hAnsi="Times New Roman" w:eastAsia="Times New Roman" w:cs="Times New Roman"/>
                <w:b/>
                <w:color w:val="000000"/>
              </w:rPr>
              <w:t>Security and Resilience Resources</w:t>
            </w:r>
          </w:p>
          <w:p>
            <w:pPr>
              <w:spacing w:after="0"/>
              <w:jc w:val="both"/>
            </w:pPr>
            <w:r>
              <w:rPr>
                <w:rFonts w:ascii="Times New Roman" w:hAnsi="Times New Roman" w:eastAsia="Times New Roman" w:cs="Times New Roman"/>
                <w:b w:val="0"/>
                <w:color w:val="000000"/>
              </w:rPr>
              <w:t>FTC Start With Security Guidelines. 2015. URL</w:t>
            </w:r>
          </w:p>
          <w:p>
            <w:pPr>
              <w:spacing w:after="0"/>
              <w:jc w:val="both"/>
            </w:pPr>
            <w:r>
              <w:rPr>
                <w:rFonts w:ascii="Times New Roman" w:hAnsi="Times New Roman" w:eastAsia="Times New Roman" w:cs="Times New Roman"/>
                <w:b w:val="0"/>
                <w:color w:val="000000"/>
              </w:rPr>
              <w:t>Gary McGraw et al. 2022. BIML Interactive Machine Learning Risk Framework. Berryville Institute for Machine Learning. URL</w:t>
            </w:r>
          </w:p>
          <w:p>
            <w:pPr>
              <w:spacing w:after="0"/>
              <w:jc w:val="both"/>
            </w:pPr>
            <w:r>
              <w:rPr>
                <w:rFonts w:ascii="Times New Roman" w:hAnsi="Times New Roman" w:eastAsia="Times New Roman" w:cs="Times New Roman"/>
                <w:b w:val="0"/>
                <w:color w:val="000000"/>
              </w:rPr>
              <w:t>Ilia Shumailov, Yiren Zhao, Daniel Bates, et al. 2021. Sponge Examples: Energy-Latency Attacks on Neural Networks. arXiv:2006.03463. URL</w:t>
            </w:r>
          </w:p>
          <w:p>
            <w:pPr>
              <w:spacing w:after="0"/>
              <w:jc w:val="both"/>
            </w:pPr>
            <w:r>
              <w:rPr>
                <w:rFonts w:ascii="Times New Roman" w:hAnsi="Times New Roman" w:eastAsia="Times New Roman" w:cs="Times New Roman"/>
                <w:b w:val="0"/>
                <w:color w:val="000000"/>
              </w:rPr>
              <w:t>Marco Barreno, Blaine Nelson, Anthony D. Joseph, et al. 2010. The Security of Machine Learning. Machine Learning 81 (2010), 121-148. URL</w:t>
            </w:r>
          </w:p>
          <w:p>
            <w:pPr>
              <w:spacing w:after="0"/>
              <w:jc w:val="both"/>
            </w:pPr>
            <w:r>
              <w:rPr>
                <w:rFonts w:ascii="Times New Roman" w:hAnsi="Times New Roman" w:eastAsia="Times New Roman" w:cs="Times New Roman"/>
                <w:b w:val="0"/>
                <w:color w:val="000000"/>
              </w:rPr>
              <w:t>Matt Fredrikson, Somesh Jha, Thomas Ristenpart. 2015. Model Inversion Attacks that Exploit Confidence Information and Basic Countermeasures. In Proceedings of the 22nd ACM SIGSAC Conference on Computer and Communications Security (CCS '15), October 2015. Association for Computing Machinery, New York, NY, USA, 1322–1333. URL</w:t>
            </w:r>
          </w:p>
          <w:p>
            <w:pPr>
              <w:spacing w:after="0"/>
              <w:jc w:val="both"/>
            </w:pPr>
            <w:r>
              <w:rPr>
                <w:rFonts w:ascii="Times New Roman" w:hAnsi="Times New Roman" w:eastAsia="Times New Roman" w:cs="Times New Roman"/>
                <w:b w:val="0"/>
                <w:color w:val="000000"/>
              </w:rPr>
              <w:t>National Institute for Standards and Technology (NIST). 2022. Cybersecurity Framework. URL</w:t>
            </w:r>
          </w:p>
          <w:p>
            <w:pPr>
              <w:spacing w:after="0"/>
              <w:jc w:val="both"/>
            </w:pPr>
            <w:r>
              <w:rPr>
                <w:rFonts w:ascii="Times New Roman" w:hAnsi="Times New Roman" w:eastAsia="Times New Roman" w:cs="Times New Roman"/>
                <w:b w:val="0"/>
                <w:color w:val="000000"/>
              </w:rPr>
              <w:t>Nicolas Papernot. 2018. A Marauder's Map of Security and Privacy in Machine Learning. arXiv:1811.01134. URL</w:t>
            </w:r>
          </w:p>
          <w:p>
            <w:pPr>
              <w:spacing w:after="0"/>
              <w:jc w:val="both"/>
            </w:pPr>
            <w:r>
              <w:rPr>
                <w:rFonts w:ascii="Times New Roman" w:hAnsi="Times New Roman" w:eastAsia="Times New Roman" w:cs="Times New Roman"/>
                <w:b w:val="0"/>
                <w:color w:val="000000"/>
              </w:rPr>
              <w:t>Reza Shokri, Marco Stronati, Congzheng Song, et al. 2017. Membership Inference Attacks against Machine Learning Models. arXiv:1610.05820. URL</w:t>
            </w:r>
          </w:p>
          <w:p>
            <w:pPr>
              <w:spacing w:after="0"/>
              <w:jc w:val="both"/>
            </w:pPr>
            <w:r>
              <w:rPr>
                <w:rFonts w:ascii="Times New Roman" w:hAnsi="Times New Roman" w:eastAsia="Times New Roman" w:cs="Times New Roman"/>
                <w:b w:val="0"/>
                <w:color w:val="000000"/>
              </w:rPr>
              <w:t>Adversarial Threat Matrix (MITRE). 2021. URL</w:t>
            </w:r>
          </w:p>
          <w:p>
            <w:pPr>
              <w:spacing w:after="0"/>
              <w:jc w:val="both"/>
            </w:pPr>
            <w:r>
              <w:rPr>
                <w:rFonts w:ascii="Times New Roman" w:hAnsi="Times New Roman" w:eastAsia="Times New Roman" w:cs="Times New Roman"/>
                <w:b/>
                <w:color w:val="000000"/>
              </w:rPr>
              <w:t>Interpretability and Explainability Approaches</w:t>
            </w:r>
          </w:p>
          <w:p>
            <w:pPr>
              <w:spacing w:after="0"/>
              <w:jc w:val="both"/>
            </w:pPr>
            <w:r>
              <w:rPr>
                <w:rFonts w:ascii="Times New Roman" w:hAnsi="Times New Roman" w:eastAsia="Times New Roman" w:cs="Times New Roman"/>
                <w:b w:val="0"/>
                <w:color w:val="000000"/>
              </w:rPr>
              <w:t>Chaofan Chen, Oscar Li, Chaofan Tao, et al. 2019. This Looks Like That: Deep Learning for Interpretable Image Recognition. arXiv:1806.10574. URL</w:t>
            </w:r>
          </w:p>
          <w:p>
            <w:pPr>
              <w:spacing w:after="0"/>
              <w:jc w:val="both"/>
            </w:pPr>
            <w:r>
              <w:rPr>
                <w:rFonts w:ascii="Times New Roman" w:hAnsi="Times New Roman" w:eastAsia="Times New Roman" w:cs="Times New Roman"/>
                <w:b w:val="0"/>
                <w:color w:val="000000"/>
              </w:rPr>
              <w:t>Cynthia Rudin. 2019. Stop explaining black box machine learning models for high stakes decisions and use interpretable models instead. arXiv:1811.10154. URL</w:t>
            </w:r>
          </w:p>
          <w:p>
            <w:pPr>
              <w:spacing w:after="0"/>
              <w:jc w:val="both"/>
            </w:pPr>
            <w:r>
              <w:rPr>
                <w:rFonts w:ascii="Times New Roman" w:hAnsi="Times New Roman" w:eastAsia="Times New Roman" w:cs="Times New Roman"/>
                <w:b w:val="0"/>
                <w:color w:val="000000"/>
              </w:rPr>
              <w:t>Daniel W. Apley, Jingyu Zhu. 2019. Visualizing the Effects of Predictor Variables in Black Box Supervised Learning Models. arXiv:1612.08468. URL</w:t>
            </w:r>
          </w:p>
          <w:p>
            <w:pPr>
              <w:spacing w:after="0"/>
              <w:jc w:val="both"/>
            </w:pPr>
            <w:r>
              <w:rPr>
                <w:rFonts w:ascii="Times New Roman" w:hAnsi="Times New Roman" w:eastAsia="Times New Roman" w:cs="Times New Roman"/>
                <w:b w:val="0"/>
                <w:color w:val="000000"/>
              </w:rPr>
              <w:t>David A. Broniatowski. 2021. Psychological Foundations of Explainability and Interpretability in Artificial Intelligence. National Institute of Standards and Technology (NIST) IR 8367. National Institute of Standards and Technology, Gaithersburg, MD. URL</w:t>
            </w:r>
          </w:p>
          <w:p>
            <w:pPr>
              <w:spacing w:after="0"/>
              <w:jc w:val="both"/>
            </w:pPr>
            <w:r>
              <w:rPr>
                <w:rFonts w:ascii="Times New Roman" w:hAnsi="Times New Roman" w:eastAsia="Times New Roman" w:cs="Times New Roman"/>
                <w:b w:val="0"/>
                <w:color w:val="000000"/>
              </w:rPr>
              <w:t>Forough Poursabzi-Sangdeh, Daniel G. Goldstein, Jake M. Hofman, et al. 2021. Manipulating and Measuring Model Interpretability. arXiv:1802.07810. URL</w:t>
            </w:r>
          </w:p>
          <w:p>
            <w:pPr>
              <w:spacing w:after="0"/>
              <w:jc w:val="both"/>
            </w:pPr>
            <w:r>
              <w:rPr>
                <w:rFonts w:ascii="Times New Roman" w:hAnsi="Times New Roman" w:eastAsia="Times New Roman" w:cs="Times New Roman"/>
                <w:b w:val="0"/>
                <w:color w:val="000000"/>
              </w:rPr>
              <w:t>Hongyu Yang, Cynthia Rudin, Margo Seltzer. 2017. Scalable Bayesian Rule Lists. arXiv:1602.08610. URL</w:t>
            </w:r>
          </w:p>
          <w:p>
            <w:pPr>
              <w:spacing w:after="0"/>
              <w:jc w:val="both"/>
            </w:pPr>
            <w:r>
              <w:rPr>
                <w:rFonts w:ascii="Times New Roman" w:hAnsi="Times New Roman" w:eastAsia="Times New Roman" w:cs="Times New Roman"/>
                <w:b w:val="0"/>
                <w:color w:val="000000"/>
              </w:rPr>
              <w:t>P. Jonathon Phillips, Carina A. Hahn, Peter C. Fontana, et al. 2021. Four Principles of Explainable Artificial Intelligence. National Institute of Standards and Technology (NIST) IR 8312. National Institute of Standards and Technology, Gaithersburg, MD. URL</w:t>
            </w:r>
          </w:p>
          <w:p>
            <w:pPr>
              <w:spacing w:after="0"/>
              <w:jc w:val="both"/>
            </w:pPr>
            <w:r>
              <w:rPr>
                <w:rFonts w:ascii="Times New Roman" w:hAnsi="Times New Roman" w:eastAsia="Times New Roman" w:cs="Times New Roman"/>
                <w:b w:val="0"/>
                <w:color w:val="000000"/>
              </w:rPr>
              <w:t>Scott Lundberg, Su-In Lee. 2017. A Unified Approach to Interpreting Model Predictions. arXiv:1705.07874. URL</w:t>
            </w:r>
          </w:p>
          <w:p>
            <w:pPr>
              <w:spacing w:after="0"/>
              <w:jc w:val="both"/>
            </w:pPr>
            <w:r>
              <w:rPr>
                <w:rFonts w:ascii="Times New Roman" w:hAnsi="Times New Roman" w:eastAsia="Times New Roman" w:cs="Times New Roman"/>
                <w:b w:val="0"/>
                <w:color w:val="000000"/>
              </w:rPr>
              <w:t>Susanne Gaube, Harini Suresh, Martina Raue, et al. 2021. Do as AI say: susceptibility in deployment of clinical decision-aids. npj Digital Medicine 4, Article 31 (2021). URL</w:t>
            </w:r>
          </w:p>
          <w:p>
            <w:pPr>
              <w:spacing w:after="0"/>
              <w:jc w:val="both"/>
            </w:pPr>
            <w:r>
              <w:rPr>
                <w:rFonts w:ascii="Times New Roman" w:hAnsi="Times New Roman" w:eastAsia="Times New Roman" w:cs="Times New Roman"/>
                <w:b w:val="0"/>
                <w:color w:val="000000"/>
              </w:rPr>
              <w:t>Yin Lou, Rich Caruana, Johannes Gehrke, et al. 2013. Accurate intelligible models with pairwise interactions. In Proceedings of the 19th ACM SIGKDD international conference on Knowledge discovery and data mining (KDD '13), August 2013. Association for Computing Machinery, New York, NY, USA, 623–631. URL</w:t>
            </w:r>
          </w:p>
          <w:p>
            <w:pPr>
              <w:spacing w:after="0"/>
              <w:jc w:val="both"/>
            </w:pPr>
            <w:r>
              <w:rPr>
                <w:rFonts w:ascii="Times New Roman" w:hAnsi="Times New Roman" w:eastAsia="Times New Roman" w:cs="Times New Roman"/>
                <w:b/>
                <w:color w:val="000000"/>
              </w:rPr>
              <w:t>Post-Decommission</w:t>
            </w:r>
          </w:p>
          <w:p>
            <w:pPr>
              <w:spacing w:after="0"/>
              <w:jc w:val="both"/>
            </w:pPr>
            <w:r>
              <w:rPr>
                <w:rFonts w:ascii="Times New Roman" w:hAnsi="Times New Roman" w:eastAsia="Times New Roman" w:cs="Times New Roman"/>
                <w:b w:val="0"/>
                <w:color w:val="000000"/>
              </w:rPr>
              <w:t>Upol Ehsan, Ranjit Singh, Jacob Metcalf and Mark O. Riedl. “The Algorithmic Imprint.” Proceedings of the 2022 ACM Conference on Fairness, Accountability, and Transparency (2022). URL</w:t>
            </w:r>
          </w:p>
          <w:p>
            <w:pPr>
              <w:spacing w:after="0"/>
              <w:jc w:val="both"/>
            </w:pPr>
            <w:r>
              <w:rPr>
                <w:rFonts w:ascii="Times New Roman" w:hAnsi="Times New Roman" w:eastAsia="Times New Roman" w:cs="Times New Roman"/>
                <w:b/>
                <w:color w:val="000000"/>
              </w:rPr>
              <w:t>Privacy Resources</w:t>
            </w:r>
          </w:p>
          <w:p>
            <w:pPr>
              <w:spacing w:after="0"/>
              <w:jc w:val="both"/>
            </w:pPr>
            <w:r>
              <w:rPr>
                <w:rFonts w:ascii="Times New Roman" w:hAnsi="Times New Roman" w:eastAsia="Times New Roman" w:cs="Times New Roman"/>
                <w:b w:val="0"/>
                <w:color w:val="000000"/>
              </w:rPr>
              <w:t>National Institute for Standards and Technology (NIST). 2022. Privacy Framework. URL</w:t>
            </w:r>
          </w:p>
          <w:p>
            <w:pPr>
              <w:spacing w:after="0"/>
              <w:jc w:val="both"/>
            </w:pPr>
            <w:r>
              <w:rPr>
                <w:rFonts w:ascii="Times New Roman" w:hAnsi="Times New Roman" w:eastAsia="Times New Roman" w:cs="Times New Roman"/>
                <w:b/>
                <w:color w:val="000000"/>
              </w:rPr>
              <w:t>Data Governance</w:t>
            </w:r>
          </w:p>
          <w:p>
            <w:pPr>
              <w:spacing w:after="0"/>
              <w:jc w:val="both"/>
            </w:pPr>
            <w:r>
              <w:rPr>
                <w:rFonts w:ascii="Times New Roman" w:hAnsi="Times New Roman" w:eastAsia="Times New Roman" w:cs="Times New Roman"/>
                <w:b w:val="0"/>
                <w:color w:val="000000"/>
              </w:rPr>
              <w:t>Marijn Janssen, Paul Brous, Elsa Estevez, Luis S. Barbosa, Tomasz Janowski, Data governance: Organizing data for trustworthy Artificial Intelligence, Government Information Quarterly, Volume 37, Issue 3, 2020, 101493, ISSN 0740-624X. URL</w:t>
            </w:r>
          </w:p>
          <w:p>
            <w:pPr>
              <w:spacing w:after="0"/>
              <w:jc w:val="both"/>
            </w:pPr>
            <w:r>
              <w:rPr>
                <w:rFonts w:ascii="Times New Roman" w:hAnsi="Times New Roman" w:eastAsia="Times New Roman" w:cs="Times New Roman"/>
                <w:b/>
                <w:color w:val="000000"/>
              </w:rPr>
              <w:t>Software Resources</w:t>
            </w:r>
          </w:p>
          <w:p>
            <w:pPr>
              <w:spacing w:after="0"/>
              <w:ind w:left="403" w:hanging="259"/>
              <w:jc w:val="both"/>
            </w:pPr>
            <w:r>
              <w:rPr>
                <w:rFonts w:ascii="Times New Roman" w:hAnsi="Times New Roman" w:eastAsia="Times New Roman" w:cs="Times New Roman"/>
                <w:b w:val="0"/>
                <w:color w:val="000000"/>
              </w:rPr>
              <w:t>•</w:t>
              <w:tab/>
              <w:t>PiML (explainable models, performance assessment)</w:t>
            </w:r>
          </w:p>
          <w:p>
            <w:pPr>
              <w:spacing w:after="0"/>
              <w:ind w:left="403" w:hanging="259"/>
              <w:jc w:val="both"/>
            </w:pPr>
            <w:r>
              <w:rPr>
                <w:rFonts w:ascii="Times New Roman" w:hAnsi="Times New Roman" w:eastAsia="Times New Roman" w:cs="Times New Roman"/>
                <w:b w:val="0"/>
                <w:color w:val="000000"/>
              </w:rPr>
              <w:t>•</w:t>
              <w:tab/>
              <w:t>Interpret (explainable models)</w:t>
            </w:r>
          </w:p>
          <w:p>
            <w:pPr>
              <w:spacing w:after="0"/>
              <w:ind w:left="403" w:hanging="259"/>
              <w:jc w:val="both"/>
            </w:pPr>
            <w:r>
              <w:rPr>
                <w:rFonts w:ascii="Times New Roman" w:hAnsi="Times New Roman" w:eastAsia="Times New Roman" w:cs="Times New Roman"/>
                <w:b w:val="0"/>
                <w:color w:val="000000"/>
              </w:rPr>
              <w:t>•</w:t>
              <w:tab/>
              <w:t>Iml (explainable models)</w:t>
            </w:r>
          </w:p>
          <w:p>
            <w:pPr>
              <w:spacing w:after="0"/>
              <w:ind w:left="403" w:hanging="259"/>
              <w:jc w:val="both"/>
            </w:pPr>
            <w:r>
              <w:rPr>
                <w:rFonts w:ascii="Times New Roman" w:hAnsi="Times New Roman" w:eastAsia="Times New Roman" w:cs="Times New Roman"/>
                <w:b w:val="0"/>
                <w:color w:val="000000"/>
              </w:rPr>
              <w:t>•</w:t>
              <w:tab/>
              <w:t>Drifter library (performance assessment)</w:t>
            </w:r>
          </w:p>
          <w:p>
            <w:pPr>
              <w:spacing w:after="0"/>
              <w:ind w:left="403" w:hanging="259"/>
              <w:jc w:val="both"/>
            </w:pPr>
            <w:r>
              <w:rPr>
                <w:rFonts w:ascii="Times New Roman" w:hAnsi="Times New Roman" w:eastAsia="Times New Roman" w:cs="Times New Roman"/>
                <w:b w:val="0"/>
                <w:color w:val="000000"/>
              </w:rPr>
              <w:t>•</w:t>
              <w:tab/>
              <w:t>Manifold library (performance assessment)</w:t>
            </w:r>
          </w:p>
          <w:p>
            <w:pPr>
              <w:spacing w:after="0"/>
              <w:ind w:left="403" w:hanging="259"/>
              <w:jc w:val="both"/>
            </w:pPr>
            <w:r>
              <w:rPr>
                <w:rFonts w:ascii="Times New Roman" w:hAnsi="Times New Roman" w:eastAsia="Times New Roman" w:cs="Times New Roman"/>
                <w:b w:val="0"/>
                <w:color w:val="000000"/>
              </w:rPr>
              <w:t>•</w:t>
              <w:tab/>
              <w:t>SALib library (performance assessment)</w:t>
            </w:r>
          </w:p>
          <w:p>
            <w:pPr>
              <w:spacing w:after="0"/>
              <w:ind w:left="403" w:hanging="259"/>
              <w:jc w:val="both"/>
            </w:pPr>
            <w:r>
              <w:rPr>
                <w:rFonts w:ascii="Times New Roman" w:hAnsi="Times New Roman" w:eastAsia="Times New Roman" w:cs="Times New Roman"/>
                <w:b w:val="0"/>
                <w:color w:val="000000"/>
              </w:rPr>
              <w:t>•</w:t>
              <w:tab/>
              <w:t>What-If Tool (performance assessment)</w:t>
            </w:r>
          </w:p>
          <w:p>
            <w:pPr>
              <w:spacing w:after="0"/>
              <w:ind w:left="403" w:hanging="259"/>
              <w:jc w:val="both"/>
            </w:pPr>
            <w:r>
              <w:rPr>
                <w:rFonts w:ascii="Times New Roman" w:hAnsi="Times New Roman" w:eastAsia="Times New Roman" w:cs="Times New Roman"/>
                <w:b w:val="0"/>
                <w:color w:val="000000"/>
              </w:rPr>
              <w:t>•</w:t>
              <w:tab/>
              <w:t>MLextend (performance assessment)</w:t>
            </w:r>
          </w:p>
          <w:p>
            <w:pPr>
              <w:spacing w:after="0"/>
              <w:ind w:left="403" w:hanging="259"/>
              <w:jc w:val="both"/>
            </w:pPr>
            <w:r>
              <w:rPr>
                <w:rFonts w:ascii="Times New Roman" w:hAnsi="Times New Roman" w:eastAsia="Times New Roman" w:cs="Times New Roman"/>
                <w:b w:val="0"/>
                <w:color w:val="000000"/>
              </w:rPr>
              <w:t>•</w:t>
              <w:tab/>
              <w:t>AI Fairness 360:</w:t>
            </w:r>
          </w:p>
          <w:p>
            <w:pPr>
              <w:spacing w:after="0"/>
              <w:ind w:left="792" w:hanging="259"/>
              <w:jc w:val="both"/>
            </w:pPr>
            <w:r>
              <w:rPr>
                <w:rFonts w:ascii="Times New Roman" w:hAnsi="Times New Roman" w:eastAsia="Times New Roman" w:cs="Times New Roman"/>
                <w:b w:val="0"/>
                <w:color w:val="000000"/>
              </w:rPr>
              <w:t>•</w:t>
              <w:tab/>
              <w:t>Python (bias testing and mitigation)</w:t>
            </w:r>
          </w:p>
          <w:p>
            <w:pPr>
              <w:spacing w:after="0"/>
              <w:ind w:left="792" w:hanging="259"/>
              <w:jc w:val="both"/>
            </w:pPr>
            <w:r>
              <w:rPr>
                <w:rFonts w:ascii="Times New Roman" w:hAnsi="Times New Roman" w:eastAsia="Times New Roman" w:cs="Times New Roman"/>
                <w:b w:val="0"/>
                <w:color w:val="000000"/>
              </w:rPr>
              <w:t>•</w:t>
              <w:tab/>
              <w:t>R (bias testing and mitigation)</w:t>
            </w:r>
          </w:p>
          <w:p>
            <w:pPr>
              <w:spacing w:after="0"/>
              <w:ind w:left="403" w:hanging="259"/>
              <w:jc w:val="both"/>
            </w:pPr>
            <w:r>
              <w:rPr>
                <w:rFonts w:ascii="Times New Roman" w:hAnsi="Times New Roman" w:eastAsia="Times New Roman" w:cs="Times New Roman"/>
                <w:b w:val="0"/>
                <w:color w:val="000000"/>
              </w:rPr>
              <w:t>•</w:t>
              <w:tab/>
              <w:t>Adversarial-robustness-toolbox (ML security)</w:t>
            </w:r>
          </w:p>
          <w:p>
            <w:pPr>
              <w:spacing w:after="0"/>
              <w:ind w:left="403" w:hanging="259"/>
              <w:jc w:val="both"/>
            </w:pPr>
            <w:r>
              <w:rPr>
                <w:rFonts w:ascii="Times New Roman" w:hAnsi="Times New Roman" w:eastAsia="Times New Roman" w:cs="Times New Roman"/>
                <w:b w:val="0"/>
                <w:color w:val="000000"/>
              </w:rPr>
              <w:t>•</w:t>
              <w:tab/>
              <w:t>Robustness (ML security)</w:t>
            </w:r>
          </w:p>
          <w:p>
            <w:pPr>
              <w:spacing w:after="0"/>
              <w:ind w:left="403" w:hanging="259"/>
              <w:jc w:val="both"/>
            </w:pPr>
            <w:r>
              <w:rPr>
                <w:rFonts w:ascii="Times New Roman" w:hAnsi="Times New Roman" w:eastAsia="Times New Roman" w:cs="Times New Roman"/>
                <w:b w:val="0"/>
                <w:color w:val="000000"/>
              </w:rPr>
              <w:t>•</w:t>
              <w:tab/>
              <w:t>tensorflow/privacy (ML security)</w:t>
            </w:r>
          </w:p>
          <w:p>
            <w:pPr>
              <w:spacing w:after="0"/>
              <w:ind w:left="403" w:hanging="259"/>
              <w:jc w:val="both"/>
            </w:pPr>
            <w:r>
              <w:rPr>
                <w:rFonts w:ascii="Times New Roman" w:hAnsi="Times New Roman" w:eastAsia="Times New Roman" w:cs="Times New Roman"/>
                <w:b w:val="0"/>
                <w:color w:val="000000"/>
              </w:rPr>
              <w:t>•</w:t>
              <w:tab/>
              <w:t>NIST De-identification Tools (Privacy and ML security)</w:t>
            </w:r>
          </w:p>
          <w:p>
            <w:pPr>
              <w:spacing w:after="0"/>
              <w:ind w:left="403" w:hanging="259"/>
              <w:jc w:val="both"/>
            </w:pPr>
            <w:r>
              <w:rPr>
                <w:rFonts w:ascii="Times New Roman" w:hAnsi="Times New Roman" w:eastAsia="Times New Roman" w:cs="Times New Roman"/>
                <w:b w:val="0"/>
                <w:color w:val="000000"/>
              </w:rPr>
              <w:t>•</w:t>
              <w:tab/>
              <w:t>Dvc (MLops, deployment)</w:t>
            </w:r>
          </w:p>
          <w:p>
            <w:pPr>
              <w:spacing w:after="0"/>
              <w:ind w:left="403" w:hanging="259"/>
              <w:jc w:val="both"/>
            </w:pPr>
            <w:r>
              <w:rPr>
                <w:rFonts w:ascii="Times New Roman" w:hAnsi="Times New Roman" w:eastAsia="Times New Roman" w:cs="Times New Roman"/>
                <w:b w:val="0"/>
                <w:color w:val="000000"/>
              </w:rPr>
              <w:t>•</w:t>
              <w:tab/>
              <w:t>Gigantum (MLops, deployment)</w:t>
            </w:r>
          </w:p>
          <w:p>
            <w:pPr>
              <w:spacing w:after="0"/>
              <w:ind w:left="403" w:hanging="259"/>
              <w:jc w:val="both"/>
            </w:pPr>
            <w:r>
              <w:rPr>
                <w:rFonts w:ascii="Times New Roman" w:hAnsi="Times New Roman" w:eastAsia="Times New Roman" w:cs="Times New Roman"/>
                <w:b w:val="0"/>
                <w:color w:val="000000"/>
              </w:rPr>
              <w:t>•</w:t>
              <w:tab/>
              <w:t>Mlflow (MLops, deployment)</w:t>
            </w:r>
          </w:p>
          <w:p>
            <w:pPr>
              <w:spacing w:after="0"/>
              <w:ind w:left="403" w:hanging="259"/>
              <w:jc w:val="both"/>
            </w:pPr>
            <w:r>
              <w:rPr>
                <w:rFonts w:ascii="Times New Roman" w:hAnsi="Times New Roman" w:eastAsia="Times New Roman" w:cs="Times New Roman"/>
                <w:b w:val="0"/>
                <w:color w:val="000000"/>
              </w:rPr>
              <w:t>•</w:t>
              <w:tab/>
              <w:t>Mlmd (MLops, deployment)</w:t>
            </w:r>
          </w:p>
          <w:p>
            <w:pPr>
              <w:spacing w:after="0"/>
              <w:ind w:left="403" w:hanging="259"/>
              <w:jc w:val="both"/>
            </w:pPr>
            <w:r>
              <w:rPr>
                <w:rFonts w:ascii="Times New Roman" w:hAnsi="Times New Roman" w:eastAsia="Times New Roman" w:cs="Times New Roman"/>
                <w:b w:val="0"/>
                <w:color w:val="000000"/>
              </w:rPr>
              <w:t>•</w:t>
              <w:tab/>
              <w:t>Modeldb (MLops, deployment)</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center"/>
            </w:pPr>
            <w:r>
              <w:rPr>
                <w:rFonts w:ascii="Times New Roman" w:hAnsi="Times New Roman" w:eastAsia="Times New Roman" w:cs="Times New Roman"/>
                <w:b/>
                <w:color w:val="000000"/>
              </w:rPr>
              <w:t>MANAGE 2.3</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Procedures are followed to respond to and recover from a previously unknown risk when it is identified.</w:t>
            </w:r>
          </w:p>
        </w:tc>
      </w:tr>
      <w:tr w:rsidR="00864629" w14:paraId="750BA288" w14:textId="77777777" w:rsidTr="00864629">
        <w:tc>
          <w:tcPr>
            <w:tcW w:w="10790" w:type="dxa"/>
            <w:shd w:val="clear" w:color="auto" w:fill="D9E2F3" w:themeFill="accent1" w:themeFillTint="33"/>
          </w:tcPr>
          <w:p>
            <w:pPr>
              <w:jc w:val="center"/>
            </w:pPr>
            <w:r>
              <w:rPr>
                <w:rFonts w:ascii="Times New Roman" w:hAnsi="Times New Roman" w:eastAsia="Times New Roman" w:cs="Times New Roman"/>
                <w:b/>
                <w:color w:val="000000"/>
              </w:rPr>
              <w:t>About</w:t>
            </w:r>
          </w:p>
        </w:tc>
      </w:tr>
      <w:tr w:rsidR="00864629" w14:paraId="45DC7C0B" w14:textId="77777777" w:rsidTr="00864629">
        <w:tc>
          <w:tcPr>
            <w:tcW w:w="10790" w:type="dxa"/>
          </w:tcPr>
          <w:p>
            <w:pPr>
              <w:spacing w:after="0"/>
              <w:jc w:val="both"/>
            </w:pPr>
            <w:r>
              <w:rPr>
                <w:rFonts w:ascii="Times New Roman" w:hAnsi="Times New Roman" w:eastAsia="Times New Roman" w:cs="Times New Roman"/>
                <w:b w:val="0"/>
                <w:color w:val="000000"/>
              </w:rPr>
              <w:t>AI systems – like any technology – can demonstrate non-functionality or failure or unexpected and unusual behavior. They also can be subject to attacks, incidents, or other misuse or abuse – which their sources are not always known apriori. Organizations can establish, document, communicate and maintain treatment procedures to recognize and counter, mitigate and manage risks that were not previously identified.</w:t>
            </w:r>
          </w:p>
        </w:tc>
      </w:tr>
      <w:tr w:rsidR="00864629" w14:paraId="4BA0ACB4"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spacing w:after="0"/>
              <w:ind w:left="403" w:hanging="259"/>
              <w:jc w:val="both"/>
            </w:pPr>
            <w:r>
              <w:rPr>
                <w:rFonts w:ascii="Times New Roman" w:hAnsi="Times New Roman" w:eastAsia="Times New Roman" w:cs="Times New Roman"/>
                <w:b w:val="0"/>
                <w:color w:val="000000"/>
              </w:rPr>
              <w:t>•</w:t>
              <w:tab/>
              <w:t>Protocols, resources, and metrics are in place for continual monitoring of AI systems’ performance, trustworthiness, and alignment with contextual norms and values</w:t>
            </w:r>
          </w:p>
          <w:p>
            <w:pPr>
              <w:spacing w:after="0"/>
              <w:ind w:left="403" w:hanging="259"/>
              <w:jc w:val="both"/>
            </w:pPr>
            <w:r>
              <w:rPr>
                <w:rFonts w:ascii="Times New Roman" w:hAnsi="Times New Roman" w:eastAsia="Times New Roman" w:cs="Times New Roman"/>
                <w:b w:val="0"/>
                <w:color w:val="000000"/>
              </w:rPr>
              <w:t>•</w:t>
              <w:tab/>
              <w:t>Establish and regularly review treatment and response plans for incidents, negative impacts, or outcomes.</w:t>
            </w:r>
          </w:p>
          <w:p>
            <w:pPr>
              <w:spacing w:after="0"/>
              <w:ind w:left="403" w:hanging="259"/>
              <w:jc w:val="both"/>
            </w:pPr>
            <w:r>
              <w:rPr>
                <w:rFonts w:ascii="Times New Roman" w:hAnsi="Times New Roman" w:eastAsia="Times New Roman" w:cs="Times New Roman"/>
                <w:b w:val="0"/>
                <w:color w:val="000000"/>
              </w:rPr>
              <w:t>•</w:t>
              <w:tab/>
              <w:t>Establish and maintain procedures to regularly monitor system components for drift, decontextualization, or other AI system behavior factors,</w:t>
            </w:r>
          </w:p>
          <w:p>
            <w:pPr>
              <w:spacing w:after="0"/>
              <w:ind w:left="403" w:hanging="259"/>
              <w:jc w:val="both"/>
            </w:pPr>
            <w:r>
              <w:rPr>
                <w:rFonts w:ascii="Times New Roman" w:hAnsi="Times New Roman" w:eastAsia="Times New Roman" w:cs="Times New Roman"/>
                <w:b w:val="0"/>
                <w:color w:val="000000"/>
              </w:rPr>
              <w:t>•</w:t>
              <w:tab/>
              <w:t>Establish and maintain procedures for capturing feedback about negative impacts.</w:t>
            </w:r>
          </w:p>
          <w:p>
            <w:pPr>
              <w:spacing w:after="0"/>
              <w:ind w:left="403" w:hanging="259"/>
              <w:jc w:val="both"/>
            </w:pPr>
            <w:r>
              <w:rPr>
                <w:rFonts w:ascii="Times New Roman" w:hAnsi="Times New Roman" w:eastAsia="Times New Roman" w:cs="Times New Roman"/>
                <w:b w:val="0"/>
                <w:color w:val="000000"/>
              </w:rPr>
              <w:t>•</w:t>
              <w:tab/>
              <w:t>Verify contingency processes to handle any negative impacts associated with mission-critical AI systems, and to deactivate systems.</w:t>
            </w:r>
          </w:p>
          <w:p>
            <w:pPr>
              <w:spacing w:after="0"/>
              <w:ind w:left="403" w:hanging="259"/>
              <w:jc w:val="both"/>
            </w:pPr>
            <w:r>
              <w:rPr>
                <w:rFonts w:ascii="Times New Roman" w:hAnsi="Times New Roman" w:eastAsia="Times New Roman" w:cs="Times New Roman"/>
                <w:b w:val="0"/>
                <w:color w:val="000000"/>
              </w:rPr>
              <w:t>•</w:t>
              <w:tab/>
              <w:t>Enable preventive and post-hoc exploration of AI system limitations by relevant AI actor groups.</w:t>
            </w:r>
          </w:p>
          <w:p>
            <w:pPr>
              <w:spacing w:after="0"/>
              <w:ind w:left="403" w:hanging="259"/>
              <w:jc w:val="both"/>
            </w:pPr>
            <w:r>
              <w:rPr>
                <w:rFonts w:ascii="Times New Roman" w:hAnsi="Times New Roman" w:eastAsia="Times New Roman" w:cs="Times New Roman"/>
                <w:b w:val="0"/>
                <w:color w:val="000000"/>
              </w:rPr>
              <w:t>•</w:t>
              <w:tab/>
              <w:t>Decommission systems that exceed risk tolerances.</w:t>
            </w:r>
          </w:p>
        </w:tc>
      </w:tr>
      <w:tr w:rsidR="00AC5C09" w14:paraId="0DFBFC7A"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color w:val="000000"/>
              </w:rPr>
              <w:t>Organizations can document the following</w:t>
            </w:r>
          </w:p>
          <w:p>
            <w:pPr>
              <w:spacing w:after="0"/>
              <w:ind w:left="403" w:hanging="259"/>
              <w:jc w:val="both"/>
            </w:pPr>
            <w:r>
              <w:rPr>
                <w:rFonts w:ascii="Times New Roman" w:hAnsi="Times New Roman" w:eastAsia="Times New Roman" w:cs="Times New Roman"/>
                <w:b w:val="0"/>
                <w:color w:val="000000"/>
              </w:rPr>
              <w:t>•</w:t>
              <w:tab/>
              <w:t>Who will be responsible for maintaining, re-verifying, monitoring, and updating this AI once deployed?</w:t>
            </w:r>
          </w:p>
          <w:p>
            <w:pPr>
              <w:spacing w:after="0"/>
              <w:ind w:left="403" w:hanging="259"/>
              <w:jc w:val="both"/>
            </w:pPr>
            <w:r>
              <w:rPr>
                <w:rFonts w:ascii="Times New Roman" w:hAnsi="Times New Roman" w:eastAsia="Times New Roman" w:cs="Times New Roman"/>
                <w:b w:val="0"/>
                <w:color w:val="000000"/>
              </w:rPr>
              <w:t>•</w:t>
              <w:tab/>
              <w:t>Are the responsibilities of the personnel involved in the various AI governance processes clearly defined? (Including responsibilities to decommission the AI system.)</w:t>
            </w:r>
          </w:p>
          <w:p>
            <w:pPr>
              <w:spacing w:after="0"/>
              <w:ind w:left="403" w:hanging="259"/>
              <w:jc w:val="both"/>
            </w:pPr>
            <w:r>
              <w:rPr>
                <w:rFonts w:ascii="Times New Roman" w:hAnsi="Times New Roman" w:eastAsia="Times New Roman" w:cs="Times New Roman"/>
                <w:b w:val="0"/>
                <w:color w:val="000000"/>
              </w:rPr>
              <w:t>•</w:t>
              <w:tab/>
              <w:t>What processes exist for data generation, acquisition/collection, ingestion, staging/storage, transformations, security, maintenance, and dissemination?</w:t>
            </w:r>
          </w:p>
          <w:p>
            <w:pPr>
              <w:spacing w:after="0"/>
              <w:ind w:left="403" w:hanging="259"/>
              <w:jc w:val="both"/>
            </w:pPr>
            <w:r>
              <w:rPr>
                <w:rFonts w:ascii="Times New Roman" w:hAnsi="Times New Roman" w:eastAsia="Times New Roman" w:cs="Times New Roman"/>
                <w:b w:val="0"/>
                <w:color w:val="000000"/>
              </w:rPr>
              <w:t>•</w:t>
              <w:tab/>
              <w:t>How will the appropriate performance metrics, such as accuracy, of the AI be monitored after the AI is deployed?</w:t>
            </w:r>
          </w:p>
          <w:p>
            <w:pPr>
              <w:spacing w:after="0"/>
              <w:jc w:val="both"/>
            </w:pPr>
            <w:r>
              <w:rPr>
                <w:rFonts w:ascii="Times New Roman" w:hAnsi="Times New Roman" w:eastAsia="Times New Roman" w:cs="Times New Roman"/>
                <w:b/>
                <w:color w:val="000000"/>
              </w:rPr>
              <w:t>AI Transparency Resources</w:t>
            </w:r>
          </w:p>
          <w:p>
            <w:pPr>
              <w:spacing w:after="0"/>
              <w:ind w:left="403" w:hanging="259"/>
              <w:jc w:val="both"/>
            </w:pPr>
            <w:r>
              <w:rPr>
                <w:rFonts w:ascii="Times New Roman" w:hAnsi="Times New Roman" w:eastAsia="Times New Roman" w:cs="Times New Roman"/>
                <w:b w:val="0"/>
                <w:color w:val="000000"/>
              </w:rPr>
              <w:t>•</w:t>
              <w:tab/>
              <w:t>Artificial Intelligence Ethics Framework For The Intelligence Community. URL</w:t>
            </w:r>
          </w:p>
          <w:p>
            <w:pPr>
              <w:spacing w:after="0"/>
              <w:ind w:left="403" w:hanging="259"/>
              <w:jc w:val="both"/>
            </w:pPr>
            <w:r>
              <w:rPr>
                <w:rFonts w:ascii="Times New Roman" w:hAnsi="Times New Roman" w:eastAsia="Times New Roman" w:cs="Times New Roman"/>
                <w:b w:val="0"/>
                <w:color w:val="000000"/>
              </w:rPr>
              <w:t>•</w:t>
              <w:tab/>
              <w:t>WEF Companion to the Model AI Governance Framework - Implementation and Self-Assessment Guide for Organizations. URL</w:t>
            </w:r>
          </w:p>
          <w:p>
            <w:pPr>
              <w:spacing w:after="0"/>
              <w:ind w:left="403" w:hanging="259"/>
              <w:jc w:val="both"/>
            </w:pPr>
            <w:r>
              <w:rPr>
                <w:rFonts w:ascii="Times New Roman" w:hAnsi="Times New Roman" w:eastAsia="Times New Roman" w:cs="Times New Roman"/>
                <w:b w:val="0"/>
                <w:color w:val="000000"/>
              </w:rPr>
              <w:t>•</w:t>
              <w:tab/>
              <w:t>GAO-21-519SP - Artificial Intelligence: An Accountability Framework for Federal Agencies &amp; Other Entities. URL</w:t>
            </w:r>
          </w:p>
        </w:tc>
      </w:tr>
      <w:tr w:rsidR="00AC5C09" w14:paraId="0D73A2CD"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val="0"/>
                <w:color w:val="000000"/>
              </w:rPr>
              <w:t>AI Incident Database. 2022. AI Incident Database. URL</w:t>
            </w:r>
          </w:p>
          <w:p>
            <w:pPr>
              <w:spacing w:after="0"/>
              <w:jc w:val="both"/>
            </w:pPr>
            <w:r>
              <w:rPr>
                <w:rFonts w:ascii="Times New Roman" w:hAnsi="Times New Roman" w:eastAsia="Times New Roman" w:cs="Times New Roman"/>
                <w:b w:val="0"/>
                <w:color w:val="000000"/>
              </w:rPr>
              <w:t>AIAAIC Repository. 2022. AI, algorithmic and automation incidents collected, dissected, examined, and divulged. URL</w:t>
            </w:r>
          </w:p>
          <w:p>
            <w:pPr>
              <w:spacing w:after="0"/>
              <w:jc w:val="both"/>
            </w:pPr>
            <w:r>
              <w:rPr>
                <w:rFonts w:ascii="Times New Roman" w:hAnsi="Times New Roman" w:eastAsia="Times New Roman" w:cs="Times New Roman"/>
                <w:b w:val="0"/>
                <w:color w:val="000000"/>
              </w:rPr>
              <w:t>Andrew Burt and Patrick Hall. 2018. What to Do When AI Fails. O’Reilly Media, Inc. (May 18, 2020). Retrieved October 17, 2022. URL</w:t>
            </w:r>
          </w:p>
          <w:p>
            <w:pPr>
              <w:spacing w:after="0"/>
              <w:jc w:val="both"/>
            </w:pPr>
            <w:r>
              <w:rPr>
                <w:rFonts w:ascii="Times New Roman" w:hAnsi="Times New Roman" w:eastAsia="Times New Roman" w:cs="Times New Roman"/>
                <w:b w:val="0"/>
                <w:color w:val="000000"/>
              </w:rPr>
              <w:t>National Institute for Standards and Technology (NIST). 2022. Cybersecurity Framework. URL</w:t>
            </w:r>
          </w:p>
          <w:p>
            <w:pPr>
              <w:spacing w:after="0"/>
              <w:jc w:val="both"/>
            </w:pPr>
            <w:r>
              <w:rPr>
                <w:rFonts w:ascii="Times New Roman" w:hAnsi="Times New Roman" w:eastAsia="Times New Roman" w:cs="Times New Roman"/>
                <w:b w:val="0"/>
                <w:color w:val="000000"/>
              </w:rPr>
              <w:t>SANS Institute. 2022. Security Consensus Operational Readiness Evaluation (SCORE) Security Checklist [or Advanced Persistent Threat (APT) Handling Checklist]. URL</w:t>
            </w:r>
          </w:p>
          <w:p>
            <w:pPr>
              <w:spacing w:after="0"/>
              <w:jc w:val="both"/>
            </w:pPr>
            <w:r>
              <w:rPr>
                <w:rFonts w:ascii="Times New Roman" w:hAnsi="Times New Roman" w:eastAsia="Times New Roman" w:cs="Times New Roman"/>
                <w:b w:val="0"/>
                <w:color w:val="000000"/>
              </w:rPr>
              <w:t>Suchi Saria, Adarsh Subbaswamy. 2019. Tutorial: Safe and Reliable Machine Learning. arXiv:1904.07204. URL</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center"/>
            </w:pPr>
            <w:r>
              <w:rPr>
                <w:rFonts w:ascii="Times New Roman" w:hAnsi="Times New Roman" w:eastAsia="Times New Roman" w:cs="Times New Roman"/>
                <w:b/>
                <w:color w:val="000000"/>
              </w:rPr>
              <w:t>MANAGE 2.4</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Mechanisms are in place and applied, responsibilities are assigned and understood to supersede, disengage, or deactivate AI systems that demonstrate performance or outcomes inconsistent with intended use.</w:t>
            </w:r>
          </w:p>
        </w:tc>
      </w:tr>
      <w:tr w:rsidR="00864629" w14:paraId="750BA288" w14:textId="77777777" w:rsidTr="00864629">
        <w:tc>
          <w:tcPr>
            <w:tcW w:w="10790" w:type="dxa"/>
            <w:shd w:val="clear" w:color="auto" w:fill="D9E2F3" w:themeFill="accent1" w:themeFillTint="33"/>
          </w:tcPr>
          <w:p>
            <w:pPr>
              <w:jc w:val="center"/>
            </w:pPr>
            <w:r>
              <w:rPr>
                <w:rFonts w:ascii="Times New Roman" w:hAnsi="Times New Roman" w:eastAsia="Times New Roman" w:cs="Times New Roman"/>
                <w:b/>
                <w:color w:val="000000"/>
              </w:rPr>
              <w:t>About</w:t>
            </w:r>
          </w:p>
        </w:tc>
      </w:tr>
      <w:tr w:rsidR="00864629" w14:paraId="45DC7C0B" w14:textId="77777777" w:rsidTr="00864629">
        <w:tc>
          <w:tcPr>
            <w:tcW w:w="10790" w:type="dxa"/>
          </w:tcPr>
          <w:p>
            <w:pPr>
              <w:spacing w:after="0"/>
              <w:jc w:val="both"/>
            </w:pPr>
            <w:r>
              <w:rPr>
                <w:rFonts w:ascii="Times New Roman" w:hAnsi="Times New Roman" w:eastAsia="Times New Roman" w:cs="Times New Roman"/>
                <w:b w:val="0"/>
                <w:color w:val="000000"/>
              </w:rPr>
              <w:t>Performance inconsistent with intended use does not always increase risk or lead to negative impacts. Rigorous TEVV practices are useful for protecting against negative impacts regardless of intended use. When negative impacts do arise, superseding (bypassing), disengaging, or deactivating/decommissioning a model, AI system component(s), or the entire AI system may be necessary, such as when:</w:t>
            </w:r>
          </w:p>
          <w:p>
            <w:pPr>
              <w:spacing w:after="0"/>
              <w:ind w:left="403" w:hanging="259"/>
              <w:jc w:val="both"/>
            </w:pPr>
            <w:r>
              <w:rPr>
                <w:rFonts w:ascii="Times New Roman" w:hAnsi="Times New Roman" w:eastAsia="Times New Roman" w:cs="Times New Roman"/>
                <w:b w:val="0"/>
                <w:color w:val="000000"/>
              </w:rPr>
              <w:t>•</w:t>
              <w:tab/>
              <w:t>a system reaches the end of its lifetime</w:t>
            </w:r>
          </w:p>
          <w:p>
            <w:pPr>
              <w:spacing w:after="0"/>
              <w:ind w:left="403" w:hanging="259"/>
              <w:jc w:val="both"/>
            </w:pPr>
            <w:r>
              <w:rPr>
                <w:rFonts w:ascii="Times New Roman" w:hAnsi="Times New Roman" w:eastAsia="Times New Roman" w:cs="Times New Roman"/>
                <w:b w:val="0"/>
                <w:color w:val="000000"/>
              </w:rPr>
              <w:t>•</w:t>
              <w:tab/>
              <w:t>detected or identified risks exceed tolerance thresholds</w:t>
            </w:r>
          </w:p>
          <w:p>
            <w:pPr>
              <w:spacing w:after="0"/>
              <w:ind w:left="403" w:hanging="259"/>
              <w:jc w:val="both"/>
            </w:pPr>
            <w:r>
              <w:rPr>
                <w:rFonts w:ascii="Times New Roman" w:hAnsi="Times New Roman" w:eastAsia="Times New Roman" w:cs="Times New Roman"/>
                <w:b w:val="0"/>
                <w:color w:val="000000"/>
              </w:rPr>
              <w:t>•</w:t>
              <w:tab/>
              <w:t>adequate system mitigation actions are beyond the organization’s capacity</w:t>
            </w:r>
          </w:p>
          <w:p>
            <w:pPr>
              <w:spacing w:after="0"/>
              <w:ind w:left="403" w:hanging="259"/>
              <w:jc w:val="both"/>
            </w:pPr>
            <w:r>
              <w:rPr>
                <w:rFonts w:ascii="Times New Roman" w:hAnsi="Times New Roman" w:eastAsia="Times New Roman" w:cs="Times New Roman"/>
                <w:b w:val="0"/>
                <w:color w:val="000000"/>
              </w:rPr>
              <w:t>•</w:t>
              <w:tab/>
              <w:t>feasible system mitigation actions do not meet regulatory, legal, norms or standards.</w:t>
            </w:r>
          </w:p>
          <w:p>
            <w:pPr>
              <w:spacing w:after="0"/>
              <w:ind w:left="403" w:hanging="259"/>
              <w:jc w:val="both"/>
            </w:pPr>
            <w:r>
              <w:rPr>
                <w:rFonts w:ascii="Times New Roman" w:hAnsi="Times New Roman" w:eastAsia="Times New Roman" w:cs="Times New Roman"/>
                <w:b w:val="0"/>
                <w:color w:val="000000"/>
              </w:rPr>
              <w:t>•</w:t>
              <w:tab/>
              <w:t>impending risk is detected during continual monitoring, for which feasible mitigation cannot be identified or implemented in a timely fashion.</w:t>
            </w:r>
          </w:p>
          <w:p>
            <w:pPr>
              <w:spacing w:after="0"/>
              <w:jc w:val="both"/>
            </w:pPr>
            <w:r>
              <w:rPr>
                <w:rFonts w:ascii="Times New Roman" w:hAnsi="Times New Roman" w:eastAsia="Times New Roman" w:cs="Times New Roman"/>
                <w:b w:val="0"/>
                <w:color w:val="000000"/>
              </w:rPr>
              <w:t>Safely removing AI systems from operation, either temporarily or permanently, under these scenarios requires standard protocols that minimize operational disruption and downstream negative impacts. Protocols can involve redundant or backup systems that are developed in alignment with established system governance policies (see GOVERN 1.7), regulatory compliance, legal frameworks, business requirements and norms and l standards within the application context of use.</w:t>
            </w:r>
          </w:p>
          <w:p>
            <w:pPr>
              <w:spacing w:after="0"/>
              <w:jc w:val="both"/>
            </w:pPr>
            <w:r>
              <w:rPr>
                <w:rFonts w:ascii="Times New Roman" w:hAnsi="Times New Roman" w:eastAsia="Times New Roman" w:cs="Times New Roman"/>
                <w:b w:val="0"/>
                <w:color w:val="000000"/>
              </w:rPr>
              <w:t>Decision thresholds and metrics for actions to bypass or deactivate system components are part of continual monitoring procedures. Incidents that result in a bypass/deactivate decision require documentation and review to understand root causes, impacts, and potential opportunities for mitigation and redeployment.</w:t>
            </w:r>
          </w:p>
          <w:p>
            <w:pPr>
              <w:spacing w:after="0"/>
              <w:jc w:val="both"/>
            </w:pPr>
            <w:r>
              <w:rPr>
                <w:rFonts w:ascii="Times New Roman" w:hAnsi="Times New Roman" w:eastAsia="Times New Roman" w:cs="Times New Roman"/>
                <w:b w:val="0"/>
                <w:color w:val="000000"/>
              </w:rPr>
              <w:t>Organizations are encouraged to develop risk and change management protocols that consider and anticipate upstream and downstream consequences of both temporary and/or permanent decommissioning, and provide contingency options.</w:t>
            </w:r>
          </w:p>
        </w:tc>
      </w:tr>
      <w:tr w:rsidR="00864629" w14:paraId="4BA0ACB4"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spacing w:after="0"/>
              <w:ind w:left="403" w:hanging="259"/>
              <w:jc w:val="both"/>
            </w:pPr>
            <w:r>
              <w:rPr>
                <w:rFonts w:ascii="Times New Roman" w:hAnsi="Times New Roman" w:eastAsia="Times New Roman" w:cs="Times New Roman"/>
                <w:b w:val="0"/>
                <w:color w:val="000000"/>
              </w:rPr>
              <w:t>•</w:t>
              <w:tab/>
              <w:t>Regularly review established procedures for AI system bypass actions, including plans for redundant or backup systems to ensure continuity of operational and/or business functionality.</w:t>
            </w:r>
          </w:p>
          <w:p>
            <w:pPr>
              <w:spacing w:after="0"/>
              <w:ind w:left="403" w:hanging="259"/>
              <w:jc w:val="both"/>
            </w:pPr>
            <w:r>
              <w:rPr>
                <w:rFonts w:ascii="Times New Roman" w:hAnsi="Times New Roman" w:eastAsia="Times New Roman" w:cs="Times New Roman"/>
                <w:b w:val="0"/>
                <w:color w:val="000000"/>
              </w:rPr>
              <w:t>•</w:t>
              <w:tab/>
              <w:t>Regularly review Identify system incident thresholds for activating bypass or deactivation responses.</w:t>
            </w:r>
          </w:p>
          <w:p>
            <w:pPr>
              <w:spacing w:after="0"/>
              <w:ind w:left="403" w:hanging="259"/>
              <w:jc w:val="both"/>
            </w:pPr>
            <w:r>
              <w:rPr>
                <w:rFonts w:ascii="Times New Roman" w:hAnsi="Times New Roman" w:eastAsia="Times New Roman" w:cs="Times New Roman"/>
                <w:b w:val="0"/>
                <w:color w:val="000000"/>
              </w:rPr>
              <w:t>•</w:t>
              <w:tab/>
              <w:t>Apply change management processes to understand the upstream and downstream consequences of bypassing or deactivating an AI system or AI system components.</w:t>
            </w:r>
          </w:p>
          <w:p>
            <w:pPr>
              <w:spacing w:after="0"/>
              <w:ind w:left="403" w:hanging="259"/>
              <w:jc w:val="both"/>
            </w:pPr>
            <w:r>
              <w:rPr>
                <w:rFonts w:ascii="Times New Roman" w:hAnsi="Times New Roman" w:eastAsia="Times New Roman" w:cs="Times New Roman"/>
                <w:b w:val="0"/>
                <w:color w:val="000000"/>
              </w:rPr>
              <w:t>•</w:t>
              <w:tab/>
              <w:t>Apply protocols, resources and metrics for decisions to supersede, bypass or deactivate AI systems or AI system components.</w:t>
            </w:r>
          </w:p>
          <w:p>
            <w:pPr>
              <w:spacing w:after="0"/>
              <w:ind w:left="403" w:hanging="259"/>
              <w:jc w:val="both"/>
            </w:pPr>
            <w:r>
              <w:rPr>
                <w:rFonts w:ascii="Times New Roman" w:hAnsi="Times New Roman" w:eastAsia="Times New Roman" w:cs="Times New Roman"/>
                <w:b w:val="0"/>
                <w:color w:val="000000"/>
              </w:rPr>
              <w:t>•</w:t>
              <w:tab/>
              <w:t>Preserve materials for forensic, regulatory, and legal review.</w:t>
            </w:r>
          </w:p>
          <w:p>
            <w:pPr>
              <w:spacing w:after="0"/>
              <w:ind w:left="403" w:hanging="259"/>
              <w:jc w:val="both"/>
            </w:pPr>
            <w:r>
              <w:rPr>
                <w:rFonts w:ascii="Times New Roman" w:hAnsi="Times New Roman" w:eastAsia="Times New Roman" w:cs="Times New Roman"/>
                <w:b w:val="0"/>
                <w:color w:val="000000"/>
              </w:rPr>
              <w:t>•</w:t>
              <w:tab/>
              <w:t>Conduct internal root cause analysis and process reviews of bypass or deactivation events.</w:t>
            </w:r>
          </w:p>
          <w:p>
            <w:pPr>
              <w:spacing w:after="0"/>
              <w:ind w:left="403" w:hanging="259"/>
              <w:jc w:val="both"/>
            </w:pPr>
            <w:r>
              <w:rPr>
                <w:rFonts w:ascii="Times New Roman" w:hAnsi="Times New Roman" w:eastAsia="Times New Roman" w:cs="Times New Roman"/>
                <w:b w:val="0"/>
                <w:color w:val="000000"/>
              </w:rPr>
              <w:t>•</w:t>
              <w:tab/>
              <w:t>Decommission and preserve system components that cannot be updated to meet criteria for redeployment.</w:t>
            </w:r>
          </w:p>
          <w:p>
            <w:pPr>
              <w:spacing w:after="0"/>
              <w:ind w:left="403" w:hanging="259"/>
              <w:jc w:val="both"/>
            </w:pPr>
            <w:r>
              <w:rPr>
                <w:rFonts w:ascii="Times New Roman" w:hAnsi="Times New Roman" w:eastAsia="Times New Roman" w:cs="Times New Roman"/>
                <w:b w:val="0"/>
                <w:color w:val="000000"/>
              </w:rPr>
              <w:t>•</w:t>
              <w:tab/>
              <w:t>Establish criteria for redeploying updated system components, in consideration of trustworthy characteristics</w:t>
            </w:r>
          </w:p>
        </w:tc>
      </w:tr>
      <w:tr w:rsidR="00AC5C09" w14:paraId="0DFBFC7A"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color w:val="000000"/>
              </w:rPr>
              <w:t>Organizations can document the following</w:t>
            </w:r>
          </w:p>
          <w:p>
            <w:pPr>
              <w:spacing w:after="0"/>
              <w:ind w:left="403" w:hanging="259"/>
              <w:jc w:val="both"/>
            </w:pPr>
            <w:r>
              <w:rPr>
                <w:rFonts w:ascii="Times New Roman" w:hAnsi="Times New Roman" w:eastAsia="Times New Roman" w:cs="Times New Roman"/>
                <w:b w:val="0"/>
                <w:color w:val="000000"/>
              </w:rPr>
              <w:t>•</w:t>
              <w:tab/>
              <w:t>What are the roles, responsibilities, and delegation of authorities of personnel involved in the design, development, deployment, assessment and monitoring of the AI system?</w:t>
            </w:r>
          </w:p>
          <w:p>
            <w:pPr>
              <w:spacing w:after="0"/>
              <w:ind w:left="403" w:hanging="259"/>
              <w:jc w:val="both"/>
            </w:pPr>
            <w:r>
              <w:rPr>
                <w:rFonts w:ascii="Times New Roman" w:hAnsi="Times New Roman" w:eastAsia="Times New Roman" w:cs="Times New Roman"/>
                <w:b w:val="0"/>
                <w:color w:val="000000"/>
              </w:rPr>
              <w:t>•</w:t>
              <w:tab/>
              <w:t>Did your organization implement a risk management system to address risks involved in deploying the identified AI solution (e.g. personnel risk or changes to commercial objectives)?</w:t>
            </w:r>
          </w:p>
          <w:p>
            <w:pPr>
              <w:spacing w:after="0"/>
              <w:ind w:left="403" w:hanging="259"/>
              <w:jc w:val="both"/>
            </w:pPr>
            <w:r>
              <w:rPr>
                <w:rFonts w:ascii="Times New Roman" w:hAnsi="Times New Roman" w:eastAsia="Times New Roman" w:cs="Times New Roman"/>
                <w:b w:val="0"/>
                <w:color w:val="000000"/>
              </w:rPr>
              <w:t>•</w:t>
              <w:tab/>
              <w:t>What testing, if any, has the entity conducted on the AI system to identify errors and limitations (i.e. adversarial or stress testing)?</w:t>
            </w:r>
          </w:p>
          <w:p>
            <w:pPr>
              <w:spacing w:after="0"/>
              <w:ind w:left="403" w:hanging="259"/>
              <w:jc w:val="both"/>
            </w:pPr>
            <w:r>
              <w:rPr>
                <w:rFonts w:ascii="Times New Roman" w:hAnsi="Times New Roman" w:eastAsia="Times New Roman" w:cs="Times New Roman"/>
                <w:b w:val="0"/>
                <w:color w:val="000000"/>
              </w:rPr>
              <w:t>•</w:t>
              <w:tab/>
              <w:t>To what extent does the entity have established procedures for retiring the AI system, if it is no longer needed?</w:t>
            </w:r>
          </w:p>
          <w:p>
            <w:pPr>
              <w:spacing w:after="0"/>
              <w:ind w:left="403" w:hanging="259"/>
              <w:jc w:val="both"/>
            </w:pPr>
            <w:r>
              <w:rPr>
                <w:rFonts w:ascii="Times New Roman" w:hAnsi="Times New Roman" w:eastAsia="Times New Roman" w:cs="Times New Roman"/>
                <w:b w:val="0"/>
                <w:color w:val="000000"/>
              </w:rPr>
              <w:t>•</w:t>
              <w:tab/>
              <w:t>How did the entity use assessments and/or evaluations to determine if the system can be scaled up, continue, or be decommissioned?</w:t>
            </w:r>
          </w:p>
          <w:p>
            <w:pPr>
              <w:spacing w:after="0"/>
              <w:jc w:val="both"/>
            </w:pPr>
            <w:r>
              <w:rPr>
                <w:rFonts w:ascii="Times New Roman" w:hAnsi="Times New Roman" w:eastAsia="Times New Roman" w:cs="Times New Roman"/>
                <w:b/>
                <w:color w:val="000000"/>
              </w:rPr>
              <w:t>AI Transparency Resources</w:t>
            </w:r>
          </w:p>
          <w:p>
            <w:pPr>
              <w:spacing w:after="0"/>
              <w:ind w:left="403" w:hanging="259"/>
              <w:jc w:val="both"/>
            </w:pPr>
            <w:r>
              <w:rPr>
                <w:rFonts w:ascii="Times New Roman" w:hAnsi="Times New Roman" w:eastAsia="Times New Roman" w:cs="Times New Roman"/>
                <w:b w:val="0"/>
                <w:color w:val="000000"/>
              </w:rPr>
              <w:t>•</w:t>
              <w:tab/>
              <w:t>GAO-21-519SP - Artificial Intelligence: An Accountability Framework for Federal Agencies &amp; Other Entities. URL</w:t>
            </w:r>
          </w:p>
        </w:tc>
      </w:tr>
      <w:tr w:rsidR="00AC5C09" w14:paraId="0D73A2CD"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val="0"/>
                <w:color w:val="000000"/>
              </w:rPr>
              <w:t>Decommissioning Template. Application Lifecycle And Supporting Docs. Cloud and Infrastructure Community of Practice. URL</w:t>
            </w:r>
          </w:p>
          <w:p>
            <w:pPr>
              <w:spacing w:after="0"/>
              <w:jc w:val="both"/>
            </w:pPr>
            <w:r>
              <w:rPr>
                <w:rFonts w:ascii="Times New Roman" w:hAnsi="Times New Roman" w:eastAsia="Times New Roman" w:cs="Times New Roman"/>
                <w:b w:val="0"/>
                <w:color w:val="000000"/>
              </w:rPr>
              <w:t>Develop a Decommission Plan. M3 Playbook. Office of Shared Services and Solutions and Performance Improvement. General Services Administration. URL</w:t>
            </w:r>
          </w:p>
        </w:tc>
      </w:tr>
    </w:tbl>
    <w:p/>
    <w:tbl>
      <w:tblPr>
        <w:tblStyle w:val="TableGrid"/>
        <w:tblW w:w="0" w:type="auto"/>
        <w:tblLook w:val="04A0" w:firstRow="1" w:lastRow="0" w:firstColumn="1" w:lastColumn="0" w:noHBand="0" w:noVBand="1"/>
      </w:tblPr>
      <w:tblGrid>
        <w:gridCol w:w="10790"/>
      </w:tblGrid>
      <w:tr w:rsidR="00864629" w:rsidRPr="00864629" w14:paraId="663ABB0E" w14:textId="77777777" w:rsidTr="00195326">
        <w:tc>
          <w:tcPr>
            <w:tcW w:w="10790" w:type="dxa"/>
            <w:shd w:val="clear" w:color="auto" w:fill="8EAADB" w:themeFill="accent1" w:themeFillTint="99"/>
          </w:tcPr>
          <w:p>
            <w:pPr>
              <w:pStyle w:val="Heading2"/>
              <w:jc w:val="center"/>
            </w:pPr>
            <w:r>
              <w:rPr>
                <w:rFonts w:ascii="Times New Roman" w:hAnsi="Times New Roman" w:eastAsia="Times New Roman" w:cs="Times New Roman"/>
                <w:b/>
                <w:color w:val="000000"/>
              </w:rPr>
              <w:t>Manage 3</w:t>
            </w:r>
          </w:p>
        </w:tc>
      </w:tr>
      <w:tr w:rsidR="00864629" w14:paraId="50FA61A0" w14:textId="77777777" w:rsidTr="00195326">
        <w:tc>
          <w:tcPr>
            <w:tcW w:w="10790" w:type="dxa"/>
          </w:tcPr>
          <w:p>
            <w:pPr>
              <w:jc w:val="both"/>
            </w:pPr>
            <w:r>
              <w:rPr>
                <w:rFonts w:ascii="Times New Roman" w:hAnsi="Times New Roman" w:eastAsia="Times New Roman" w:cs="Times New Roman"/>
                <w:color w:val="000000"/>
              </w:rPr>
              <w:t>AI risks and benefits from third-party entities are managed.</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center"/>
            </w:pPr>
            <w:r>
              <w:rPr>
                <w:rFonts w:ascii="Times New Roman" w:hAnsi="Times New Roman" w:eastAsia="Times New Roman" w:cs="Times New Roman"/>
                <w:b/>
                <w:color w:val="000000"/>
              </w:rPr>
              <w:t>MANAGE 3.1</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AI risks and benefits from third-party resources are regularly monitored, and risk controls are applied and documented.</w:t>
            </w:r>
          </w:p>
        </w:tc>
      </w:tr>
      <w:tr w:rsidR="00864629" w14:paraId="750BA288" w14:textId="77777777" w:rsidTr="00864629">
        <w:tc>
          <w:tcPr>
            <w:tcW w:w="10790" w:type="dxa"/>
            <w:shd w:val="clear" w:color="auto" w:fill="D9E2F3" w:themeFill="accent1" w:themeFillTint="33"/>
          </w:tcPr>
          <w:p>
            <w:pPr>
              <w:jc w:val="center"/>
            </w:pPr>
            <w:r>
              <w:rPr>
                <w:rFonts w:ascii="Times New Roman" w:hAnsi="Times New Roman" w:eastAsia="Times New Roman" w:cs="Times New Roman"/>
                <w:b/>
                <w:color w:val="000000"/>
              </w:rPr>
              <w:t>About</w:t>
            </w:r>
          </w:p>
        </w:tc>
      </w:tr>
      <w:tr w:rsidR="00864629" w14:paraId="45DC7C0B" w14:textId="77777777" w:rsidTr="00864629">
        <w:tc>
          <w:tcPr>
            <w:tcW w:w="10790" w:type="dxa"/>
          </w:tcPr>
          <w:p>
            <w:pPr>
              <w:spacing w:after="0"/>
              <w:jc w:val="both"/>
            </w:pPr>
            <w:r>
              <w:rPr>
                <w:rFonts w:ascii="Times New Roman" w:hAnsi="Times New Roman" w:eastAsia="Times New Roman" w:cs="Times New Roman"/>
                <w:b w:val="0"/>
                <w:color w:val="000000"/>
              </w:rPr>
              <w:t>AI systems may depend on external resources and associated processes, including third-party data, software or hardware systems. Third parties’ supplying organizations with components and services, including tools, software, and expertise for AI system design, development, deployment or use can improve efficiency and scalability. It can also increase complexity and opacity, and, in-turn, risk. Documenting third-party technologies, personnel, and resources that were employed can help manage risks.</w:t>
            </w:r>
          </w:p>
          <w:p>
            <w:pPr>
              <w:spacing w:after="0"/>
              <w:jc w:val="both"/>
            </w:pPr>
            <w:r>
              <w:rPr>
                <w:rFonts w:ascii="Times New Roman" w:hAnsi="Times New Roman" w:eastAsia="Times New Roman" w:cs="Times New Roman"/>
                <w:b w:val="0"/>
                <w:color w:val="000000"/>
              </w:rPr>
              <w:t>Focusing first and foremost on risks involving physical safety, legal liabilities, regulatory compliance, and negative impacts on individuals, groups, or society is recommended.</w:t>
            </w:r>
          </w:p>
        </w:tc>
      </w:tr>
      <w:tr w:rsidR="00864629" w14:paraId="4BA0ACB4"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spacing w:after="0"/>
              <w:ind w:left="403" w:hanging="259"/>
              <w:jc w:val="both"/>
            </w:pPr>
            <w:r>
              <w:rPr>
                <w:rFonts w:ascii="Times New Roman" w:hAnsi="Times New Roman" w:eastAsia="Times New Roman" w:cs="Times New Roman"/>
                <w:b w:val="0"/>
                <w:color w:val="000000"/>
              </w:rPr>
              <w:t>•</w:t>
              <w:tab/>
              <w:t>Have legal requirements been addressed?</w:t>
            </w:r>
          </w:p>
          <w:p>
            <w:pPr>
              <w:spacing w:after="0"/>
              <w:ind w:left="403" w:hanging="259"/>
              <w:jc w:val="both"/>
            </w:pPr>
            <w:r>
              <w:rPr>
                <w:rFonts w:ascii="Times New Roman" w:hAnsi="Times New Roman" w:eastAsia="Times New Roman" w:cs="Times New Roman"/>
                <w:b w:val="0"/>
                <w:color w:val="000000"/>
              </w:rPr>
              <w:t>•</w:t>
              <w:tab/>
              <w:t>Apply organizational risk tolerance to third-party AI systems.</w:t>
            </w:r>
          </w:p>
          <w:p>
            <w:pPr>
              <w:spacing w:after="0"/>
              <w:ind w:left="403" w:hanging="259"/>
              <w:jc w:val="both"/>
            </w:pPr>
            <w:r>
              <w:rPr>
                <w:rFonts w:ascii="Times New Roman" w:hAnsi="Times New Roman" w:eastAsia="Times New Roman" w:cs="Times New Roman"/>
                <w:b w:val="0"/>
                <w:color w:val="000000"/>
              </w:rPr>
              <w:t>•</w:t>
              <w:tab/>
              <w:t>Apply and document organizational risk management plans and practices to third-party AI technology, personnel, or other resources.</w:t>
            </w:r>
          </w:p>
          <w:p>
            <w:pPr>
              <w:spacing w:after="0"/>
              <w:ind w:left="403" w:hanging="259"/>
              <w:jc w:val="both"/>
            </w:pPr>
            <w:r>
              <w:rPr>
                <w:rFonts w:ascii="Times New Roman" w:hAnsi="Times New Roman" w:eastAsia="Times New Roman" w:cs="Times New Roman"/>
                <w:b w:val="0"/>
                <w:color w:val="000000"/>
              </w:rPr>
              <w:t>•</w:t>
              <w:tab/>
              <w:t>Identify and maintain documentation for third-party AI systems and components.</w:t>
            </w:r>
          </w:p>
          <w:p>
            <w:pPr>
              <w:spacing w:after="0"/>
              <w:ind w:left="403" w:hanging="259"/>
              <w:jc w:val="both"/>
            </w:pPr>
            <w:r>
              <w:rPr>
                <w:rFonts w:ascii="Times New Roman" w:hAnsi="Times New Roman" w:eastAsia="Times New Roman" w:cs="Times New Roman"/>
                <w:b w:val="0"/>
                <w:color w:val="000000"/>
              </w:rPr>
              <w:t>•</w:t>
              <w:tab/>
              <w:t>Establish testing, evaluation, validation and verification processes for third-party AI systems which address the needs for transparency without exposing proprietary algorithms.</w:t>
            </w:r>
          </w:p>
          <w:p>
            <w:pPr>
              <w:spacing w:after="0"/>
              <w:ind w:left="403" w:hanging="259"/>
              <w:jc w:val="both"/>
            </w:pPr>
            <w:r>
              <w:rPr>
                <w:rFonts w:ascii="Times New Roman" w:hAnsi="Times New Roman" w:eastAsia="Times New Roman" w:cs="Times New Roman"/>
                <w:b w:val="0"/>
                <w:color w:val="000000"/>
              </w:rPr>
              <w:t>•</w:t>
              <w:tab/>
              <w:t>Establish processes to identify beneficial use and risk indicators in third-party systems or components, such as inconsistent software release schedule, sparse documentation, and incomplete software change management (e.g., lack of forward or backward compatibility).</w:t>
            </w:r>
          </w:p>
          <w:p>
            <w:pPr>
              <w:spacing w:after="0"/>
              <w:ind w:left="403" w:hanging="259"/>
              <w:jc w:val="both"/>
            </w:pPr>
            <w:r>
              <w:rPr>
                <w:rFonts w:ascii="Times New Roman" w:hAnsi="Times New Roman" w:eastAsia="Times New Roman" w:cs="Times New Roman"/>
                <w:b w:val="0"/>
                <w:color w:val="000000"/>
              </w:rPr>
              <w:t>•</w:t>
              <w:tab/>
              <w:t>Organizations can establish processes for third parties to report known and potential vulnerabilities, risks or biases in supplied resources.</w:t>
            </w:r>
          </w:p>
          <w:p>
            <w:pPr>
              <w:spacing w:after="0"/>
              <w:ind w:left="403" w:hanging="259"/>
              <w:jc w:val="both"/>
            </w:pPr>
            <w:r>
              <w:rPr>
                <w:rFonts w:ascii="Times New Roman" w:hAnsi="Times New Roman" w:eastAsia="Times New Roman" w:cs="Times New Roman"/>
                <w:b w:val="0"/>
                <w:color w:val="000000"/>
              </w:rPr>
              <w:t>•</w:t>
              <w:tab/>
              <w:t>Verify contingency processes for handling negative impacts associated with mission-critical third-party AI systems.</w:t>
            </w:r>
          </w:p>
          <w:p>
            <w:pPr>
              <w:spacing w:after="0"/>
              <w:ind w:left="403" w:hanging="259"/>
              <w:jc w:val="both"/>
            </w:pPr>
            <w:r>
              <w:rPr>
                <w:rFonts w:ascii="Times New Roman" w:hAnsi="Times New Roman" w:eastAsia="Times New Roman" w:cs="Times New Roman"/>
                <w:b w:val="0"/>
                <w:color w:val="000000"/>
              </w:rPr>
              <w:t>•</w:t>
              <w:tab/>
              <w:t>Monitor third-party AI systems for potential negative impacts and risks associated with trustworthiness characteristics.</w:t>
            </w:r>
          </w:p>
          <w:p>
            <w:pPr>
              <w:spacing w:after="0"/>
              <w:ind w:left="403" w:hanging="259"/>
              <w:jc w:val="both"/>
            </w:pPr>
            <w:r>
              <w:rPr>
                <w:rFonts w:ascii="Times New Roman" w:hAnsi="Times New Roman" w:eastAsia="Times New Roman" w:cs="Times New Roman"/>
                <w:b w:val="0"/>
                <w:color w:val="000000"/>
              </w:rPr>
              <w:t>•</w:t>
              <w:tab/>
              <w:t>Decommission third-party systems that exceed risk tolerances.</w:t>
            </w:r>
          </w:p>
        </w:tc>
      </w:tr>
      <w:tr w:rsidR="00AC5C09" w14:paraId="0DFBFC7A"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color w:val="000000"/>
              </w:rPr>
              <w:t>Organizations can document the following</w:t>
            </w:r>
          </w:p>
          <w:p>
            <w:pPr>
              <w:spacing w:after="0"/>
              <w:ind w:left="403" w:hanging="259"/>
              <w:jc w:val="both"/>
            </w:pPr>
            <w:r>
              <w:rPr>
                <w:rFonts w:ascii="Times New Roman" w:hAnsi="Times New Roman" w:eastAsia="Times New Roman" w:cs="Times New Roman"/>
                <w:b w:val="0"/>
                <w:color w:val="000000"/>
              </w:rPr>
              <w:t>•</w:t>
              <w:tab/>
              <w:t>If a third party created the AI system or some of its components, how will you ensure a level of explainability or interpretability? Is there documentation?</w:t>
            </w:r>
          </w:p>
          <w:p>
            <w:pPr>
              <w:spacing w:after="0"/>
              <w:ind w:left="403" w:hanging="259"/>
              <w:jc w:val="both"/>
            </w:pPr>
            <w:r>
              <w:rPr>
                <w:rFonts w:ascii="Times New Roman" w:hAnsi="Times New Roman" w:eastAsia="Times New Roman" w:cs="Times New Roman"/>
                <w:b w:val="0"/>
                <w:color w:val="000000"/>
              </w:rPr>
              <w:t>•</w:t>
              <w:tab/>
              <w:t>If your organization obtained datasets from a third party, did your organization assess and manage the risks of using such datasets?</w:t>
            </w:r>
          </w:p>
          <w:p>
            <w:pPr>
              <w:spacing w:after="0"/>
              <w:ind w:left="403" w:hanging="259"/>
              <w:jc w:val="both"/>
            </w:pPr>
            <w:r>
              <w:rPr>
                <w:rFonts w:ascii="Times New Roman" w:hAnsi="Times New Roman" w:eastAsia="Times New Roman" w:cs="Times New Roman"/>
                <w:b w:val="0"/>
                <w:color w:val="000000"/>
              </w:rPr>
              <w:t>•</w:t>
              <w:tab/>
              <w:t>Did you establish a process for third parties (e.g. suppliers, end users, subjects, distributors/vendors or workers) to report potential vulnerabilities, risks or biases in the AI system?</w:t>
            </w:r>
          </w:p>
          <w:p>
            <w:pPr>
              <w:spacing w:after="0"/>
              <w:ind w:left="403" w:hanging="259"/>
              <w:jc w:val="both"/>
            </w:pPr>
            <w:r>
              <w:rPr>
                <w:rFonts w:ascii="Times New Roman" w:hAnsi="Times New Roman" w:eastAsia="Times New Roman" w:cs="Times New Roman"/>
                <w:b w:val="0"/>
                <w:color w:val="000000"/>
              </w:rPr>
              <w:t>•</w:t>
              <w:tab/>
              <w:t>Have legal requirements been addressed?</w:t>
            </w:r>
          </w:p>
          <w:p>
            <w:pPr>
              <w:spacing w:after="0"/>
              <w:jc w:val="both"/>
            </w:pPr>
            <w:r>
              <w:rPr>
                <w:rFonts w:ascii="Times New Roman" w:hAnsi="Times New Roman" w:eastAsia="Times New Roman" w:cs="Times New Roman"/>
                <w:b/>
                <w:color w:val="000000"/>
              </w:rPr>
              <w:t>AI Transparency Resources</w:t>
            </w:r>
          </w:p>
          <w:p>
            <w:pPr>
              <w:spacing w:after="0"/>
              <w:ind w:left="403" w:hanging="259"/>
              <w:jc w:val="both"/>
            </w:pPr>
            <w:r>
              <w:rPr>
                <w:rFonts w:ascii="Times New Roman" w:hAnsi="Times New Roman" w:eastAsia="Times New Roman" w:cs="Times New Roman"/>
                <w:b w:val="0"/>
                <w:color w:val="000000"/>
              </w:rPr>
              <w:t>•</w:t>
              <w:tab/>
              <w:t>Artificial Intelligence Ethics Framework For The Intelligence Community. URL</w:t>
            </w:r>
          </w:p>
          <w:p>
            <w:pPr>
              <w:spacing w:after="0"/>
              <w:ind w:left="403" w:hanging="259"/>
              <w:jc w:val="both"/>
            </w:pPr>
            <w:r>
              <w:rPr>
                <w:rFonts w:ascii="Times New Roman" w:hAnsi="Times New Roman" w:eastAsia="Times New Roman" w:cs="Times New Roman"/>
                <w:b w:val="0"/>
                <w:color w:val="000000"/>
              </w:rPr>
              <w:t>•</w:t>
              <w:tab/>
              <w:t>WEF Companion to the Model AI Governance Framework - Implementation and Self-Assessment Guide for Organizations. URL</w:t>
            </w:r>
          </w:p>
          <w:p>
            <w:pPr>
              <w:spacing w:after="0"/>
              <w:ind w:left="403" w:hanging="259"/>
              <w:jc w:val="both"/>
            </w:pPr>
            <w:r>
              <w:rPr>
                <w:rFonts w:ascii="Times New Roman" w:hAnsi="Times New Roman" w:eastAsia="Times New Roman" w:cs="Times New Roman"/>
                <w:b w:val="0"/>
                <w:color w:val="000000"/>
              </w:rPr>
              <w:t>•</w:t>
              <w:tab/>
              <w:t>Datasheets for Datasets. URL</w:t>
            </w:r>
          </w:p>
        </w:tc>
      </w:tr>
      <w:tr w:rsidR="00AC5C09" w14:paraId="0D73A2CD"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val="0"/>
                <w:color w:val="000000"/>
              </w:rPr>
              <w:t>Office of the Comptroller of the Currency. 2021. Proposed Interagency Guidance on Third-Party Relationships: Risk Management. July 12, 2021. URL</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center"/>
            </w:pPr>
            <w:r>
              <w:rPr>
                <w:rFonts w:ascii="Times New Roman" w:hAnsi="Times New Roman" w:eastAsia="Times New Roman" w:cs="Times New Roman"/>
                <w:b/>
                <w:color w:val="000000"/>
              </w:rPr>
              <w:t>MANAGE 3.2</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Pre-trained models which are used for development are monitored as part of AI system regular monitoring and maintenance.</w:t>
            </w:r>
          </w:p>
        </w:tc>
      </w:tr>
      <w:tr w:rsidR="00864629" w14:paraId="750BA288" w14:textId="77777777" w:rsidTr="00864629">
        <w:tc>
          <w:tcPr>
            <w:tcW w:w="10790" w:type="dxa"/>
            <w:shd w:val="clear" w:color="auto" w:fill="D9E2F3" w:themeFill="accent1" w:themeFillTint="33"/>
          </w:tcPr>
          <w:p>
            <w:pPr>
              <w:jc w:val="center"/>
            </w:pPr>
            <w:r>
              <w:rPr>
                <w:rFonts w:ascii="Times New Roman" w:hAnsi="Times New Roman" w:eastAsia="Times New Roman" w:cs="Times New Roman"/>
                <w:b/>
                <w:color w:val="000000"/>
              </w:rPr>
              <w:t>About</w:t>
            </w:r>
          </w:p>
        </w:tc>
      </w:tr>
      <w:tr w:rsidR="00864629" w14:paraId="45DC7C0B" w14:textId="77777777" w:rsidTr="00864629">
        <w:tc>
          <w:tcPr>
            <w:tcW w:w="10790" w:type="dxa"/>
          </w:tcPr>
          <w:p>
            <w:pPr>
              <w:spacing w:after="0"/>
              <w:jc w:val="both"/>
            </w:pPr>
            <w:r>
              <w:rPr>
                <w:rFonts w:ascii="Times New Roman" w:hAnsi="Times New Roman" w:eastAsia="Times New Roman" w:cs="Times New Roman"/>
                <w:b w:val="0"/>
                <w:color w:val="000000"/>
              </w:rPr>
              <w:t>A common approach in AI development is transfer learning, whereby an existing pre-trained model is adapted for use in a different, but related application. AI actors in development tasks often use pre-trained models from third-party entities for tasks such as image classification, language prediction, and entity recognition, because the resources to build such models may not be readily available to most organizations.</w:t>
            </w:r>
          </w:p>
          <w:p>
            <w:pPr>
              <w:spacing w:after="0"/>
              <w:jc w:val="both"/>
            </w:pPr>
            <w:r>
              <w:rPr>
                <w:rFonts w:ascii="Times New Roman" w:hAnsi="Times New Roman" w:eastAsia="Times New Roman" w:cs="Times New Roman"/>
                <w:b w:val="0"/>
                <w:color w:val="000000"/>
              </w:rPr>
              <w:t>Pre-trained models are typically trained to address various classification or prediction problems, using exceedingly large datasets and computationally intensive resources. The use of pre-trained models can make it difficult to anticipate negative system outcomes or impacts. Lack of documentation or transparency tools increases the difficulty and general complexity when deploying pre-trained models and hinders root cause analyses.</w:t>
            </w:r>
          </w:p>
        </w:tc>
      </w:tr>
      <w:tr w:rsidR="00864629" w14:paraId="4BA0ACB4"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spacing w:after="0"/>
              <w:ind w:left="403" w:hanging="259"/>
              <w:jc w:val="both"/>
            </w:pPr>
            <w:r>
              <w:rPr>
                <w:rFonts w:ascii="Times New Roman" w:hAnsi="Times New Roman" w:eastAsia="Times New Roman" w:cs="Times New Roman"/>
                <w:b w:val="0"/>
                <w:color w:val="000000"/>
              </w:rPr>
              <w:t>•</w:t>
              <w:tab/>
              <w:t>Identify pre-trained models within AI system inventory for risk tracking.</w:t>
            </w:r>
          </w:p>
          <w:p>
            <w:pPr>
              <w:spacing w:after="0"/>
              <w:ind w:left="403" w:hanging="259"/>
              <w:jc w:val="both"/>
            </w:pPr>
            <w:r>
              <w:rPr>
                <w:rFonts w:ascii="Times New Roman" w:hAnsi="Times New Roman" w:eastAsia="Times New Roman" w:cs="Times New Roman"/>
                <w:b w:val="0"/>
                <w:color w:val="000000"/>
              </w:rPr>
              <w:t>•</w:t>
              <w:tab/>
              <w:t>Establish processes to independently and continually monitor performance and trustworthiness of pre-trained models, and as part of third-party risk tracking.</w:t>
            </w:r>
          </w:p>
          <w:p>
            <w:pPr>
              <w:spacing w:after="0"/>
              <w:ind w:left="403" w:hanging="259"/>
              <w:jc w:val="both"/>
            </w:pPr>
            <w:r>
              <w:rPr>
                <w:rFonts w:ascii="Times New Roman" w:hAnsi="Times New Roman" w:eastAsia="Times New Roman" w:cs="Times New Roman"/>
                <w:b w:val="0"/>
                <w:color w:val="000000"/>
              </w:rPr>
              <w:t>•</w:t>
              <w:tab/>
              <w:t>Monitor performance and trustworthiness of AI system components connected to pre-trained models, and as part of third-party risk tracking.</w:t>
            </w:r>
          </w:p>
          <w:p>
            <w:pPr>
              <w:spacing w:after="0"/>
              <w:ind w:left="403" w:hanging="259"/>
              <w:jc w:val="both"/>
            </w:pPr>
            <w:r>
              <w:rPr>
                <w:rFonts w:ascii="Times New Roman" w:hAnsi="Times New Roman" w:eastAsia="Times New Roman" w:cs="Times New Roman"/>
                <w:b w:val="0"/>
                <w:color w:val="000000"/>
              </w:rPr>
              <w:t>•</w:t>
              <w:tab/>
              <w:t>Identify, document and remediate risks arising from AI system components and pre-trained models per organizational risk management procedures, and as part of third-party risk tracking.</w:t>
            </w:r>
          </w:p>
          <w:p>
            <w:pPr>
              <w:spacing w:after="0"/>
              <w:ind w:left="403" w:hanging="259"/>
              <w:jc w:val="both"/>
            </w:pPr>
            <w:r>
              <w:rPr>
                <w:rFonts w:ascii="Times New Roman" w:hAnsi="Times New Roman" w:eastAsia="Times New Roman" w:cs="Times New Roman"/>
                <w:b w:val="0"/>
                <w:color w:val="000000"/>
              </w:rPr>
              <w:t>•</w:t>
              <w:tab/>
              <w:t>Decommission AI system components and pre-trained models which exceed risk tolerances, and as part of third-party risk tracking.</w:t>
            </w:r>
          </w:p>
        </w:tc>
      </w:tr>
      <w:tr w:rsidR="00AC5C09" w14:paraId="0DFBFC7A"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color w:val="000000"/>
              </w:rPr>
              <w:t>Organizations can document the following</w:t>
            </w:r>
          </w:p>
          <w:p>
            <w:pPr>
              <w:spacing w:after="0"/>
              <w:ind w:left="403" w:hanging="259"/>
              <w:jc w:val="both"/>
            </w:pPr>
            <w:r>
              <w:rPr>
                <w:rFonts w:ascii="Times New Roman" w:hAnsi="Times New Roman" w:eastAsia="Times New Roman" w:cs="Times New Roman"/>
                <w:b w:val="0"/>
                <w:color w:val="000000"/>
              </w:rPr>
              <w:t>•</w:t>
              <w:tab/>
              <w:t>How has the entity documented the AI system’s data provenance, including sources, origins, transformations, augmentations, labels, dependencies, constraints, and metadata?</w:t>
            </w:r>
          </w:p>
          <w:p>
            <w:pPr>
              <w:spacing w:after="0"/>
              <w:ind w:left="403" w:hanging="259"/>
              <w:jc w:val="both"/>
            </w:pPr>
            <w:r>
              <w:rPr>
                <w:rFonts w:ascii="Times New Roman" w:hAnsi="Times New Roman" w:eastAsia="Times New Roman" w:cs="Times New Roman"/>
                <w:b w:val="0"/>
                <w:color w:val="000000"/>
              </w:rPr>
              <w:t>•</w:t>
              <w:tab/>
              <w:t>Does this dataset collection/processing procedure achieve the motivation for creating the dataset stated in the first section of this datasheet?</w:t>
            </w:r>
          </w:p>
          <w:p>
            <w:pPr>
              <w:spacing w:after="0"/>
              <w:ind w:left="403" w:hanging="259"/>
              <w:jc w:val="both"/>
            </w:pPr>
            <w:r>
              <w:rPr>
                <w:rFonts w:ascii="Times New Roman" w:hAnsi="Times New Roman" w:eastAsia="Times New Roman" w:cs="Times New Roman"/>
                <w:b w:val="0"/>
                <w:color w:val="000000"/>
              </w:rPr>
              <w:t>•</w:t>
              <w:tab/>
              <w:t>How does the entity ensure that the data collected are adequate, relevant, and not excessive in relation to the intended purpose?</w:t>
            </w:r>
          </w:p>
          <w:p>
            <w:pPr>
              <w:spacing w:after="0"/>
              <w:ind w:left="403" w:hanging="259"/>
              <w:jc w:val="both"/>
            </w:pPr>
            <w:r>
              <w:rPr>
                <w:rFonts w:ascii="Times New Roman" w:hAnsi="Times New Roman" w:eastAsia="Times New Roman" w:cs="Times New Roman"/>
                <w:b w:val="0"/>
                <w:color w:val="000000"/>
              </w:rPr>
              <w:t>•</w:t>
              <w:tab/>
              <w:t>If the dataset becomes obsolete how will this be communicated?</w:t>
            </w:r>
          </w:p>
          <w:p>
            <w:pPr>
              <w:spacing w:after="0"/>
              <w:jc w:val="both"/>
            </w:pPr>
            <w:r>
              <w:rPr>
                <w:rFonts w:ascii="Times New Roman" w:hAnsi="Times New Roman" w:eastAsia="Times New Roman" w:cs="Times New Roman"/>
                <w:b/>
                <w:color w:val="000000"/>
              </w:rPr>
              <w:t>AI Transparency Resources</w:t>
            </w:r>
          </w:p>
          <w:p>
            <w:pPr>
              <w:spacing w:after="0"/>
              <w:ind w:left="403" w:hanging="259"/>
              <w:jc w:val="both"/>
            </w:pPr>
            <w:r>
              <w:rPr>
                <w:rFonts w:ascii="Times New Roman" w:hAnsi="Times New Roman" w:eastAsia="Times New Roman" w:cs="Times New Roman"/>
                <w:b w:val="0"/>
                <w:color w:val="000000"/>
              </w:rPr>
              <w:t>•</w:t>
              <w:tab/>
              <w:t>Artificial Intelligence Ethics Framework For The Intelligence Community. URL</w:t>
            </w:r>
          </w:p>
          <w:p>
            <w:pPr>
              <w:spacing w:after="0"/>
              <w:ind w:left="403" w:hanging="259"/>
              <w:jc w:val="both"/>
            </w:pPr>
            <w:r>
              <w:rPr>
                <w:rFonts w:ascii="Times New Roman" w:hAnsi="Times New Roman" w:eastAsia="Times New Roman" w:cs="Times New Roman"/>
                <w:b w:val="0"/>
                <w:color w:val="000000"/>
              </w:rPr>
              <w:t>•</w:t>
              <w:tab/>
              <w:t>WEF Companion to the Model AI Governance Framework - Implementation and Self-Assessment Guide for Organizations. URL</w:t>
            </w:r>
          </w:p>
          <w:p>
            <w:pPr>
              <w:spacing w:after="0"/>
              <w:ind w:left="403" w:hanging="259"/>
              <w:jc w:val="both"/>
            </w:pPr>
            <w:r>
              <w:rPr>
                <w:rFonts w:ascii="Times New Roman" w:hAnsi="Times New Roman" w:eastAsia="Times New Roman" w:cs="Times New Roman"/>
                <w:b w:val="0"/>
                <w:color w:val="000000"/>
              </w:rPr>
              <w:t>•</w:t>
              <w:tab/>
              <w:t>Datasheets for Datasets. URL</w:t>
            </w:r>
          </w:p>
        </w:tc>
      </w:tr>
      <w:tr w:rsidR="00AC5C09" w14:paraId="0D73A2CD"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val="0"/>
                <w:color w:val="000000"/>
              </w:rPr>
              <w:t>Larysa Visengeriyeva et al. “Awesome MLOps,“ GitHub. Accessed January 9, 2023. URL</w:t>
            </w:r>
          </w:p>
        </w:tc>
      </w:tr>
    </w:tbl>
    <w:p/>
    <w:tbl>
      <w:tblPr>
        <w:tblStyle w:val="TableGrid"/>
        <w:tblW w:w="0" w:type="auto"/>
        <w:tblLook w:val="04A0" w:firstRow="1" w:lastRow="0" w:firstColumn="1" w:lastColumn="0" w:noHBand="0" w:noVBand="1"/>
      </w:tblPr>
      <w:tblGrid>
        <w:gridCol w:w="10790"/>
      </w:tblGrid>
      <w:tr w:rsidR="00864629" w:rsidRPr="00864629" w14:paraId="663ABB0E" w14:textId="77777777" w:rsidTr="00195326">
        <w:tc>
          <w:tcPr>
            <w:tcW w:w="10790" w:type="dxa"/>
            <w:shd w:val="clear" w:color="auto" w:fill="8EAADB" w:themeFill="accent1" w:themeFillTint="99"/>
          </w:tcPr>
          <w:p>
            <w:pPr>
              <w:pStyle w:val="Heading2"/>
              <w:jc w:val="center"/>
            </w:pPr>
            <w:r>
              <w:rPr>
                <w:rFonts w:ascii="Times New Roman" w:hAnsi="Times New Roman" w:eastAsia="Times New Roman" w:cs="Times New Roman"/>
                <w:b/>
                <w:color w:val="000000"/>
              </w:rPr>
              <w:t>Manage 4</w:t>
            </w:r>
          </w:p>
        </w:tc>
      </w:tr>
      <w:tr w:rsidR="00864629" w14:paraId="50FA61A0" w14:textId="77777777" w:rsidTr="00195326">
        <w:tc>
          <w:tcPr>
            <w:tcW w:w="10790" w:type="dxa"/>
          </w:tcPr>
          <w:p>
            <w:pPr>
              <w:jc w:val="both"/>
            </w:pPr>
            <w:r>
              <w:rPr>
                <w:rFonts w:ascii="Times New Roman" w:hAnsi="Times New Roman" w:eastAsia="Times New Roman" w:cs="Times New Roman"/>
                <w:color w:val="000000"/>
              </w:rPr>
              <w:t>Risk treatments including response and recovery, and communication plans to the identified and measured AI risks are documented and monitored regularly.</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center"/>
            </w:pPr>
            <w:r>
              <w:rPr>
                <w:rFonts w:ascii="Times New Roman" w:hAnsi="Times New Roman" w:eastAsia="Times New Roman" w:cs="Times New Roman"/>
                <w:b/>
                <w:color w:val="000000"/>
              </w:rPr>
              <w:t>MANAGE 4.1</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Post-deployment AI system monitoring plans are implemented, including mechanisms for capturing and evaluating input from users and other relevant AI actors, appeal and override, decommissioning, incident response, recovery, and change management.</w:t>
            </w:r>
          </w:p>
        </w:tc>
      </w:tr>
      <w:tr w:rsidR="00864629" w14:paraId="750BA288" w14:textId="77777777" w:rsidTr="00864629">
        <w:tc>
          <w:tcPr>
            <w:tcW w:w="10790" w:type="dxa"/>
            <w:shd w:val="clear" w:color="auto" w:fill="D9E2F3" w:themeFill="accent1" w:themeFillTint="33"/>
          </w:tcPr>
          <w:p>
            <w:pPr>
              <w:jc w:val="center"/>
            </w:pPr>
            <w:r>
              <w:rPr>
                <w:rFonts w:ascii="Times New Roman" w:hAnsi="Times New Roman" w:eastAsia="Times New Roman" w:cs="Times New Roman"/>
                <w:b/>
                <w:color w:val="000000"/>
              </w:rPr>
              <w:t>About</w:t>
            </w:r>
          </w:p>
        </w:tc>
      </w:tr>
      <w:tr w:rsidR="00864629" w14:paraId="45DC7C0B" w14:textId="77777777" w:rsidTr="00864629">
        <w:tc>
          <w:tcPr>
            <w:tcW w:w="10790" w:type="dxa"/>
          </w:tcPr>
          <w:p>
            <w:pPr>
              <w:spacing w:after="0"/>
              <w:jc w:val="both"/>
            </w:pPr>
            <w:r>
              <w:rPr>
                <w:rFonts w:ascii="Times New Roman" w:hAnsi="Times New Roman" w:eastAsia="Times New Roman" w:cs="Times New Roman"/>
                <w:b w:val="0"/>
                <w:color w:val="000000"/>
              </w:rPr>
              <w:t>AI system performance and trustworthiness can change due to a variety of factors. Regular AI system monitoring can help deployers identify performance degradations, adversarial attacks, unexpected and unusual behavior, near-misses, and impacts. Including pre- and post-deployment external feedback about AI system performance can enhance organizational awareness about positive and negative impacts, and reduce the time to respond to risks and harms.</w:t>
            </w:r>
          </w:p>
        </w:tc>
      </w:tr>
      <w:tr w:rsidR="00864629" w14:paraId="4BA0ACB4"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spacing w:after="0"/>
              <w:ind w:left="403" w:hanging="259"/>
              <w:jc w:val="both"/>
            </w:pPr>
            <w:r>
              <w:rPr>
                <w:rFonts w:ascii="Times New Roman" w:hAnsi="Times New Roman" w:eastAsia="Times New Roman" w:cs="Times New Roman"/>
                <w:b w:val="0"/>
                <w:color w:val="000000"/>
              </w:rPr>
              <w:t>•</w:t>
              <w:tab/>
              <w:t>Establish and maintain procedures to monitor AI system performance for risks and negative and positive impacts associated with trustworthiness characteristics.</w:t>
            </w:r>
          </w:p>
          <w:p>
            <w:pPr>
              <w:spacing w:after="0"/>
              <w:ind w:left="403" w:hanging="259"/>
              <w:jc w:val="both"/>
            </w:pPr>
            <w:r>
              <w:rPr>
                <w:rFonts w:ascii="Times New Roman" w:hAnsi="Times New Roman" w:eastAsia="Times New Roman" w:cs="Times New Roman"/>
                <w:b w:val="0"/>
                <w:color w:val="000000"/>
              </w:rPr>
              <w:t>•</w:t>
              <w:tab/>
              <w:t>Perform post-deployment TEVV tasks to evaluate AI system validity and reliability, bias and fairness, privacy, and security and resilience.</w:t>
            </w:r>
          </w:p>
          <w:p>
            <w:pPr>
              <w:spacing w:after="0"/>
              <w:ind w:left="403" w:hanging="259"/>
              <w:jc w:val="both"/>
            </w:pPr>
            <w:r>
              <w:rPr>
                <w:rFonts w:ascii="Times New Roman" w:hAnsi="Times New Roman" w:eastAsia="Times New Roman" w:cs="Times New Roman"/>
                <w:b w:val="0"/>
                <w:color w:val="000000"/>
              </w:rPr>
              <w:t>•</w:t>
              <w:tab/>
              <w:t>Evaluate AI system trustworthiness in conditions similar to deployment context of use, and prior to deployment.</w:t>
            </w:r>
          </w:p>
          <w:p>
            <w:pPr>
              <w:spacing w:after="0"/>
              <w:ind w:left="403" w:hanging="259"/>
              <w:jc w:val="both"/>
            </w:pPr>
            <w:r>
              <w:rPr>
                <w:rFonts w:ascii="Times New Roman" w:hAnsi="Times New Roman" w:eastAsia="Times New Roman" w:cs="Times New Roman"/>
                <w:b w:val="0"/>
                <w:color w:val="000000"/>
              </w:rPr>
              <w:t>•</w:t>
              <w:tab/>
              <w:t>Establish and implement red-teaming exercises at a prescribed cadence, and evaluate their efficacy.</w:t>
            </w:r>
          </w:p>
          <w:p>
            <w:pPr>
              <w:spacing w:after="0"/>
              <w:ind w:left="403" w:hanging="259"/>
              <w:jc w:val="both"/>
            </w:pPr>
            <w:r>
              <w:rPr>
                <w:rFonts w:ascii="Times New Roman" w:hAnsi="Times New Roman" w:eastAsia="Times New Roman" w:cs="Times New Roman"/>
                <w:b w:val="0"/>
                <w:color w:val="000000"/>
              </w:rPr>
              <w:t>•</w:t>
              <w:tab/>
              <w:t>Establish procedures for tracking dataset modifications such as data deletion or rectification requests.</w:t>
            </w:r>
          </w:p>
          <w:p>
            <w:pPr>
              <w:spacing w:after="0"/>
              <w:ind w:left="403" w:hanging="259"/>
              <w:jc w:val="both"/>
            </w:pPr>
            <w:r>
              <w:rPr>
                <w:rFonts w:ascii="Times New Roman" w:hAnsi="Times New Roman" w:eastAsia="Times New Roman" w:cs="Times New Roman"/>
                <w:b w:val="0"/>
                <w:color w:val="000000"/>
              </w:rPr>
              <w:t>•</w:t>
              <w:tab/>
              <w:t>Establish mechanisms for regular communication and feedback between relevant AI actors and internal or external stakeholders to capture information about system performance, trustworthiness and impact.</w:t>
            </w:r>
          </w:p>
          <w:p>
            <w:pPr>
              <w:spacing w:after="0"/>
              <w:ind w:left="403" w:hanging="259"/>
              <w:jc w:val="both"/>
            </w:pPr>
            <w:r>
              <w:rPr>
                <w:rFonts w:ascii="Times New Roman" w:hAnsi="Times New Roman" w:eastAsia="Times New Roman" w:cs="Times New Roman"/>
                <w:b w:val="0"/>
                <w:color w:val="000000"/>
              </w:rPr>
              <w:t>•</w:t>
              <w:tab/>
              <w:t>Share information about errors, near-misses, and attack patterns with incident databases, other organizations with similar systems, and system users and stakeholders.</w:t>
            </w:r>
          </w:p>
          <w:p>
            <w:pPr>
              <w:spacing w:after="0"/>
              <w:ind w:left="403" w:hanging="259"/>
              <w:jc w:val="both"/>
            </w:pPr>
            <w:r>
              <w:rPr>
                <w:rFonts w:ascii="Times New Roman" w:hAnsi="Times New Roman" w:eastAsia="Times New Roman" w:cs="Times New Roman"/>
                <w:b w:val="0"/>
                <w:color w:val="000000"/>
              </w:rPr>
              <w:t>•</w:t>
              <w:tab/>
              <w:t>Respond to and document detected or reported negative impacts or issues in AI system performance and trustworthiness.</w:t>
            </w:r>
          </w:p>
          <w:p>
            <w:pPr>
              <w:spacing w:after="0"/>
              <w:ind w:left="403" w:hanging="259"/>
              <w:jc w:val="both"/>
            </w:pPr>
            <w:r>
              <w:rPr>
                <w:rFonts w:ascii="Times New Roman" w:hAnsi="Times New Roman" w:eastAsia="Times New Roman" w:cs="Times New Roman"/>
                <w:b w:val="0"/>
                <w:color w:val="000000"/>
              </w:rPr>
              <w:t>•</w:t>
              <w:tab/>
              <w:t>Decommission systems that exceed establish risk tolerances.</w:t>
            </w:r>
          </w:p>
        </w:tc>
      </w:tr>
      <w:tr w:rsidR="00AC5C09" w14:paraId="0DFBFC7A"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color w:val="000000"/>
              </w:rPr>
              <w:t>Organizations can document the following</w:t>
            </w:r>
          </w:p>
          <w:p>
            <w:pPr>
              <w:spacing w:after="0"/>
              <w:ind w:left="403" w:hanging="259"/>
              <w:jc w:val="both"/>
            </w:pPr>
            <w:r>
              <w:rPr>
                <w:rFonts w:ascii="Times New Roman" w:hAnsi="Times New Roman" w:eastAsia="Times New Roman" w:cs="Times New Roman"/>
                <w:b w:val="0"/>
                <w:color w:val="000000"/>
              </w:rPr>
              <w:t>•</w:t>
              <w:tab/>
              <w:t>To what extent has the entity documented the post-deployment AI system’s testing methodology, metrics, and performance outcomes?</w:t>
            </w:r>
          </w:p>
          <w:p>
            <w:pPr>
              <w:spacing w:after="0"/>
              <w:ind w:left="403" w:hanging="259"/>
              <w:jc w:val="both"/>
            </w:pPr>
            <w:r>
              <w:rPr>
                <w:rFonts w:ascii="Times New Roman" w:hAnsi="Times New Roman" w:eastAsia="Times New Roman" w:cs="Times New Roman"/>
                <w:b w:val="0"/>
                <w:color w:val="000000"/>
              </w:rPr>
              <w:t>•</w:t>
              <w:tab/>
              <w:t>How easily accessible and current is the information available to external stakeholders?</w:t>
            </w:r>
          </w:p>
          <w:p>
            <w:pPr>
              <w:spacing w:after="0"/>
              <w:jc w:val="both"/>
            </w:pPr>
            <w:r>
              <w:rPr>
                <w:rFonts w:ascii="Times New Roman" w:hAnsi="Times New Roman" w:eastAsia="Times New Roman" w:cs="Times New Roman"/>
                <w:b/>
                <w:color w:val="000000"/>
              </w:rPr>
              <w:t>AI Transparency Resources</w:t>
            </w:r>
          </w:p>
          <w:p>
            <w:pPr>
              <w:spacing w:after="0"/>
              <w:ind w:left="403" w:hanging="259"/>
              <w:jc w:val="both"/>
            </w:pPr>
            <w:r>
              <w:rPr>
                <w:rFonts w:ascii="Times New Roman" w:hAnsi="Times New Roman" w:eastAsia="Times New Roman" w:cs="Times New Roman"/>
                <w:b w:val="0"/>
                <w:color w:val="000000"/>
              </w:rPr>
              <w:t>•</w:t>
              <w:tab/>
              <w:t>GAO-21-519SP - Artificial Intelligence: An Accountability Framework for Federal Agencies &amp; Other Entities. URL</w:t>
            </w:r>
          </w:p>
          <w:p>
            <w:pPr>
              <w:spacing w:after="0"/>
              <w:ind w:left="403" w:hanging="259"/>
              <w:jc w:val="both"/>
            </w:pPr>
            <w:r>
              <w:rPr>
                <w:rFonts w:ascii="Times New Roman" w:hAnsi="Times New Roman" w:eastAsia="Times New Roman" w:cs="Times New Roman"/>
                <w:b w:val="0"/>
                <w:color w:val="000000"/>
              </w:rPr>
              <w:t>•</w:t>
              <w:tab/>
              <w:t>Datasheets for Datasets. URL</w:t>
            </w:r>
          </w:p>
        </w:tc>
      </w:tr>
      <w:tr w:rsidR="00AC5C09" w14:paraId="0D73A2CD"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val="0"/>
                <w:color w:val="000000"/>
              </w:rPr>
              <w:t>Navdeep Gill, Patrick Hall, Kim Montgomery, and Nicholas Schmidt. "A Responsible Machine Learning Workflow with Focus on Interpretable Models, Post-hoc Explanation, and Discrimination Testing." Information 11, no. 3 (2020): 137. URL</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center"/>
            </w:pPr>
            <w:r>
              <w:rPr>
                <w:rFonts w:ascii="Times New Roman" w:hAnsi="Times New Roman" w:eastAsia="Times New Roman" w:cs="Times New Roman"/>
                <w:b/>
                <w:color w:val="000000"/>
              </w:rPr>
              <w:t>MANAGE 4.2</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Measurable activities for continual improvements are integrated into AI system updates and include regular engagement with interested parties, including relevant AI actors.</w:t>
            </w:r>
          </w:p>
        </w:tc>
      </w:tr>
      <w:tr w:rsidR="00864629" w14:paraId="750BA288" w14:textId="77777777" w:rsidTr="00864629">
        <w:tc>
          <w:tcPr>
            <w:tcW w:w="10790" w:type="dxa"/>
            <w:shd w:val="clear" w:color="auto" w:fill="D9E2F3" w:themeFill="accent1" w:themeFillTint="33"/>
          </w:tcPr>
          <w:p>
            <w:pPr>
              <w:jc w:val="center"/>
            </w:pPr>
            <w:r>
              <w:rPr>
                <w:rFonts w:ascii="Times New Roman" w:hAnsi="Times New Roman" w:eastAsia="Times New Roman" w:cs="Times New Roman"/>
                <w:b/>
                <w:color w:val="000000"/>
              </w:rPr>
              <w:t>About</w:t>
            </w:r>
          </w:p>
        </w:tc>
      </w:tr>
      <w:tr w:rsidR="00864629" w14:paraId="45DC7C0B" w14:textId="77777777" w:rsidTr="00864629">
        <w:tc>
          <w:tcPr>
            <w:tcW w:w="10790" w:type="dxa"/>
          </w:tcPr>
          <w:p>
            <w:pPr>
              <w:spacing w:after="0"/>
              <w:jc w:val="both"/>
            </w:pPr>
            <w:r>
              <w:rPr>
                <w:rFonts w:ascii="Times New Roman" w:hAnsi="Times New Roman" w:eastAsia="Times New Roman" w:cs="Times New Roman"/>
                <w:b w:val="0"/>
                <w:color w:val="000000"/>
              </w:rPr>
              <w:t>Regular monitoring processes enable system updates to enhance performance and functionality in accordance with regulatory and legal frameworks, and organizational and contextual values and norms. These processes also facilitate analyses of root causes, system degradation, drift, near-misses, and failures, and incident response and documentation.</w:t>
            </w:r>
          </w:p>
          <w:p>
            <w:pPr>
              <w:spacing w:after="0"/>
              <w:jc w:val="both"/>
            </w:pPr>
            <w:r>
              <w:rPr>
                <w:rFonts w:ascii="Times New Roman" w:hAnsi="Times New Roman" w:eastAsia="Times New Roman" w:cs="Times New Roman"/>
                <w:b w:val="0"/>
                <w:color w:val="000000"/>
              </w:rPr>
              <w:t>AI actors across the lifecycle have many opportunities to capture and incorporate external feedback about system performance, limitations, and impacts, and implement continuous improvements. Improvements may not always be to model pipeline or system processes, and may instead be based on metrics beyond accuracy or other quality performance measures. In these cases, improvements may entail adaptations to business or organizational procedures or practices.</w:t>
            </w:r>
          </w:p>
          <w:p>
            <w:pPr>
              <w:spacing w:after="0"/>
              <w:jc w:val="both"/>
            </w:pPr>
            <w:r>
              <w:rPr>
                <w:rFonts w:ascii="Times New Roman" w:hAnsi="Times New Roman" w:eastAsia="Times New Roman" w:cs="Times New Roman"/>
                <w:b w:val="0"/>
                <w:color w:val="000000"/>
              </w:rPr>
              <w:t>Organizations are encouraged to develop improvements that will maintain traceability and transparency for developers, end users, auditors, and relevant AI actors.</w:t>
            </w:r>
          </w:p>
        </w:tc>
      </w:tr>
      <w:tr w:rsidR="00864629" w14:paraId="4BA0ACB4"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spacing w:after="0"/>
              <w:ind w:left="403" w:hanging="259"/>
              <w:jc w:val="both"/>
            </w:pPr>
            <w:r>
              <w:rPr>
                <w:rFonts w:ascii="Times New Roman" w:hAnsi="Times New Roman" w:eastAsia="Times New Roman" w:cs="Times New Roman"/>
                <w:b w:val="0"/>
                <w:color w:val="000000"/>
              </w:rPr>
              <w:t>•</w:t>
              <w:tab/>
              <w:t>Integrate trustworthiness characteristics into protocols and metrics used for continual improvement.</w:t>
            </w:r>
          </w:p>
          <w:p>
            <w:pPr>
              <w:spacing w:after="0"/>
              <w:ind w:left="403" w:hanging="259"/>
              <w:jc w:val="both"/>
            </w:pPr>
            <w:r>
              <w:rPr>
                <w:rFonts w:ascii="Times New Roman" w:hAnsi="Times New Roman" w:eastAsia="Times New Roman" w:cs="Times New Roman"/>
                <w:b w:val="0"/>
                <w:color w:val="000000"/>
              </w:rPr>
              <w:t>•</w:t>
              <w:tab/>
              <w:t>Establish processes for evaluating and integrating feedback into AI system improvements.</w:t>
            </w:r>
          </w:p>
          <w:p>
            <w:pPr>
              <w:spacing w:after="0"/>
              <w:ind w:left="403" w:hanging="259"/>
              <w:jc w:val="both"/>
            </w:pPr>
            <w:r>
              <w:rPr>
                <w:rFonts w:ascii="Times New Roman" w:hAnsi="Times New Roman" w:eastAsia="Times New Roman" w:cs="Times New Roman"/>
                <w:b w:val="0"/>
                <w:color w:val="000000"/>
              </w:rPr>
              <w:t>•</w:t>
              <w:tab/>
              <w:t>Assess and evaluate alignment of proposed improvements with relevant regulatory and legal frameworks</w:t>
            </w:r>
          </w:p>
          <w:p>
            <w:pPr>
              <w:spacing w:after="0"/>
              <w:ind w:left="403" w:hanging="259"/>
              <w:jc w:val="both"/>
            </w:pPr>
            <w:r>
              <w:rPr>
                <w:rFonts w:ascii="Times New Roman" w:hAnsi="Times New Roman" w:eastAsia="Times New Roman" w:cs="Times New Roman"/>
                <w:b w:val="0"/>
                <w:color w:val="000000"/>
              </w:rPr>
              <w:t>•</w:t>
              <w:tab/>
              <w:t>Assess and evaluate alignment of proposed improvements connected to the values and norms within the context of use.</w:t>
            </w:r>
          </w:p>
          <w:p>
            <w:pPr>
              <w:spacing w:after="0"/>
              <w:ind w:left="403" w:hanging="259"/>
              <w:jc w:val="both"/>
            </w:pPr>
            <w:r>
              <w:rPr>
                <w:rFonts w:ascii="Times New Roman" w:hAnsi="Times New Roman" w:eastAsia="Times New Roman" w:cs="Times New Roman"/>
                <w:b w:val="0"/>
                <w:color w:val="000000"/>
              </w:rPr>
              <w:t>•</w:t>
              <w:tab/>
              <w:t>Document the basis for decisions made relative to tradeoffs between trustworthy characteristics, system risks, and system opportunities</w:t>
            </w:r>
          </w:p>
        </w:tc>
      </w:tr>
      <w:tr w:rsidR="00AC5C09" w14:paraId="0DFBFC7A"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color w:val="000000"/>
              </w:rPr>
              <w:t>Organizations can document the following</w:t>
            </w:r>
          </w:p>
          <w:p>
            <w:pPr>
              <w:spacing w:after="0"/>
              <w:ind w:left="403" w:hanging="259"/>
              <w:jc w:val="both"/>
            </w:pPr>
            <w:r>
              <w:rPr>
                <w:rFonts w:ascii="Times New Roman" w:hAnsi="Times New Roman" w:eastAsia="Times New Roman" w:cs="Times New Roman"/>
                <w:b w:val="0"/>
                <w:color w:val="000000"/>
              </w:rPr>
              <w:t>•</w:t>
              <w:tab/>
              <w:t>How will user and other forms of stakeholder engagement be integrated into the model development process and regular performance review once deployed?</w:t>
            </w:r>
          </w:p>
          <w:p>
            <w:pPr>
              <w:spacing w:after="0"/>
              <w:ind w:left="403" w:hanging="259"/>
              <w:jc w:val="both"/>
            </w:pPr>
            <w:r>
              <w:rPr>
                <w:rFonts w:ascii="Times New Roman" w:hAnsi="Times New Roman" w:eastAsia="Times New Roman" w:cs="Times New Roman"/>
                <w:b w:val="0"/>
                <w:color w:val="000000"/>
              </w:rPr>
              <w:t>•</w:t>
              <w:tab/>
              <w:t>To what extent can users or parties affected by the outputs of the AI system test the AI system and provide feedback?</w:t>
            </w:r>
          </w:p>
          <w:p>
            <w:pPr>
              <w:spacing w:after="0"/>
              <w:ind w:left="403" w:hanging="259"/>
              <w:jc w:val="both"/>
            </w:pPr>
            <w:r>
              <w:rPr>
                <w:rFonts w:ascii="Times New Roman" w:hAnsi="Times New Roman" w:eastAsia="Times New Roman" w:cs="Times New Roman"/>
                <w:b w:val="0"/>
                <w:color w:val="000000"/>
              </w:rPr>
              <w:t>•</w:t>
              <w:tab/>
              <w:t>To what extent has the entity defined and documented the regulatory environment—including minimum requirements in laws and regulations?</w:t>
            </w:r>
          </w:p>
          <w:p>
            <w:pPr>
              <w:spacing w:after="0"/>
              <w:jc w:val="both"/>
            </w:pPr>
            <w:r>
              <w:rPr>
                <w:rFonts w:ascii="Times New Roman" w:hAnsi="Times New Roman" w:eastAsia="Times New Roman" w:cs="Times New Roman"/>
                <w:b/>
                <w:color w:val="000000"/>
              </w:rPr>
              <w:t>AI Transparency Resources</w:t>
            </w:r>
          </w:p>
          <w:p>
            <w:pPr>
              <w:spacing w:after="0"/>
              <w:ind w:left="403" w:hanging="259"/>
              <w:jc w:val="both"/>
            </w:pPr>
            <w:r>
              <w:rPr>
                <w:rFonts w:ascii="Times New Roman" w:hAnsi="Times New Roman" w:eastAsia="Times New Roman" w:cs="Times New Roman"/>
                <w:b w:val="0"/>
                <w:color w:val="000000"/>
              </w:rPr>
              <w:t>•</w:t>
              <w:tab/>
              <w:t>GAO-21-519SP - Artificial Intelligence: An Accountability Framework for Federal Agencies &amp; Other Entities. URL</w:t>
            </w:r>
          </w:p>
          <w:p>
            <w:pPr>
              <w:spacing w:after="0"/>
              <w:ind w:left="403" w:hanging="259"/>
              <w:jc w:val="both"/>
            </w:pPr>
            <w:r>
              <w:rPr>
                <w:rFonts w:ascii="Times New Roman" w:hAnsi="Times New Roman" w:eastAsia="Times New Roman" w:cs="Times New Roman"/>
                <w:b w:val="0"/>
                <w:color w:val="000000"/>
              </w:rPr>
              <w:t>•</w:t>
              <w:tab/>
              <w:t>Artificial Intelligence Ethics Framework For The Intelligence Community. URL</w:t>
            </w:r>
          </w:p>
        </w:tc>
      </w:tr>
      <w:tr w:rsidR="00AC5C09" w14:paraId="0D73A2CD"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val="0"/>
                <w:color w:val="000000"/>
              </w:rPr>
              <w:t>Yen, Po-Yin, et al. "Development and Evaluation of Socio-Technical Metrics to Inform HIT Adaptation." URL</w:t>
            </w:r>
          </w:p>
          <w:p>
            <w:pPr>
              <w:spacing w:after="0"/>
              <w:jc w:val="both"/>
            </w:pPr>
            <w:r>
              <w:rPr>
                <w:rFonts w:ascii="Times New Roman" w:hAnsi="Times New Roman" w:eastAsia="Times New Roman" w:cs="Times New Roman"/>
                <w:b w:val="0"/>
                <w:color w:val="000000"/>
              </w:rPr>
              <w:t>Carayon, Pascale, and Megan E. Salwei. "Moving toward a sociotechnical systems approach to continuous health information technology design: the path forward for improving electronic health record usability and reducing clinician burnout." Journal of the American Medical Informatics Association 28.5 (2021): 1026-1028. URL</w:t>
            </w:r>
          </w:p>
          <w:p>
            <w:pPr>
              <w:spacing w:after="0"/>
              <w:jc w:val="both"/>
            </w:pPr>
            <w:r>
              <w:rPr>
                <w:rFonts w:ascii="Times New Roman" w:hAnsi="Times New Roman" w:eastAsia="Times New Roman" w:cs="Times New Roman"/>
                <w:b w:val="0"/>
                <w:color w:val="000000"/>
              </w:rPr>
              <w:t>Mishra, Deepa, et al. "Organizational capabilities that enable big data and predictive analytics diffusion and organizational performance: A resource-based perspective." Management Decision (2018).</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center"/>
            </w:pPr>
            <w:r>
              <w:rPr>
                <w:rFonts w:ascii="Times New Roman" w:hAnsi="Times New Roman" w:eastAsia="Times New Roman" w:cs="Times New Roman"/>
                <w:b/>
                <w:color w:val="000000"/>
              </w:rPr>
              <w:t>MANAGE 4.3</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Incidents and errors are communicated to relevant AI actors including affected communities. Processes for tracking, responding to, and recovering from incidents and errors are followed and documented.</w:t>
            </w:r>
          </w:p>
        </w:tc>
      </w:tr>
      <w:tr w:rsidR="00864629" w14:paraId="750BA288" w14:textId="77777777" w:rsidTr="00864629">
        <w:tc>
          <w:tcPr>
            <w:tcW w:w="10790" w:type="dxa"/>
            <w:shd w:val="clear" w:color="auto" w:fill="D9E2F3" w:themeFill="accent1" w:themeFillTint="33"/>
          </w:tcPr>
          <w:p>
            <w:pPr>
              <w:jc w:val="center"/>
            </w:pPr>
            <w:r>
              <w:rPr>
                <w:rFonts w:ascii="Times New Roman" w:hAnsi="Times New Roman" w:eastAsia="Times New Roman" w:cs="Times New Roman"/>
                <w:b/>
                <w:color w:val="000000"/>
              </w:rPr>
              <w:t>About</w:t>
            </w:r>
          </w:p>
        </w:tc>
      </w:tr>
      <w:tr w:rsidR="00864629" w14:paraId="45DC7C0B" w14:textId="77777777" w:rsidTr="00864629">
        <w:tc>
          <w:tcPr>
            <w:tcW w:w="10790" w:type="dxa"/>
          </w:tcPr>
          <w:p>
            <w:pPr>
              <w:spacing w:after="0"/>
              <w:jc w:val="both"/>
            </w:pPr>
            <w:r>
              <w:rPr>
                <w:rFonts w:ascii="Times New Roman" w:hAnsi="Times New Roman" w:eastAsia="Times New Roman" w:cs="Times New Roman"/>
                <w:b w:val="0"/>
                <w:color w:val="000000"/>
              </w:rPr>
              <w:t>Regularly documenting an accurate and transparent account of identified and reported errors can enhance AI risk management activities. Examples include:</w:t>
            </w:r>
          </w:p>
          <w:p>
            <w:pPr>
              <w:spacing w:after="0"/>
              <w:ind w:left="403" w:hanging="259"/>
              <w:jc w:val="both"/>
            </w:pPr>
            <w:r>
              <w:rPr>
                <w:rFonts w:ascii="Times New Roman" w:hAnsi="Times New Roman" w:eastAsia="Times New Roman" w:cs="Times New Roman"/>
                <w:b w:val="0"/>
                <w:color w:val="000000"/>
              </w:rPr>
              <w:t>•</w:t>
              <w:tab/>
              <w:t>how errors were identified,</w:t>
            </w:r>
          </w:p>
          <w:p>
            <w:pPr>
              <w:spacing w:after="0"/>
              <w:ind w:left="403" w:hanging="259"/>
              <w:jc w:val="both"/>
            </w:pPr>
            <w:r>
              <w:rPr>
                <w:rFonts w:ascii="Times New Roman" w:hAnsi="Times New Roman" w:eastAsia="Times New Roman" w:cs="Times New Roman"/>
                <w:b w:val="0"/>
                <w:color w:val="000000"/>
              </w:rPr>
              <w:t>•</w:t>
              <w:tab/>
              <w:t>incidents related to the error,</w:t>
            </w:r>
          </w:p>
          <w:p>
            <w:pPr>
              <w:spacing w:after="0"/>
              <w:ind w:left="403" w:hanging="259"/>
              <w:jc w:val="both"/>
            </w:pPr>
            <w:r>
              <w:rPr>
                <w:rFonts w:ascii="Times New Roman" w:hAnsi="Times New Roman" w:eastAsia="Times New Roman" w:cs="Times New Roman"/>
                <w:b w:val="0"/>
                <w:color w:val="000000"/>
              </w:rPr>
              <w:t>•</w:t>
              <w:tab/>
              <w:t>whether the error has been repaired, and</w:t>
            </w:r>
          </w:p>
          <w:p>
            <w:pPr>
              <w:spacing w:after="0"/>
              <w:ind w:left="403" w:hanging="259"/>
              <w:jc w:val="both"/>
            </w:pPr>
            <w:r>
              <w:rPr>
                <w:rFonts w:ascii="Times New Roman" w:hAnsi="Times New Roman" w:eastAsia="Times New Roman" w:cs="Times New Roman"/>
                <w:b w:val="0"/>
                <w:color w:val="000000"/>
              </w:rPr>
              <w:t>•</w:t>
              <w:tab/>
              <w:t>how repairs can be distributed to all impacted stakeholders and users.</w:t>
            </w:r>
          </w:p>
        </w:tc>
      </w:tr>
      <w:tr w:rsidR="00864629" w14:paraId="4BA0ACB4"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spacing w:after="0"/>
              <w:ind w:left="403" w:hanging="259"/>
              <w:jc w:val="both"/>
            </w:pPr>
            <w:r>
              <w:rPr>
                <w:rFonts w:ascii="Times New Roman" w:hAnsi="Times New Roman" w:eastAsia="Times New Roman" w:cs="Times New Roman"/>
                <w:b w:val="0"/>
                <w:color w:val="000000"/>
              </w:rPr>
              <w:t>•</w:t>
              <w:tab/>
              <w:t>Establish procedures to regularly share information about errors, incidents and negative impacts with relevant stakeholders, operators, practitioners and users, and impacted parties.</w:t>
            </w:r>
          </w:p>
          <w:p>
            <w:pPr>
              <w:spacing w:after="0"/>
              <w:ind w:left="403" w:hanging="259"/>
              <w:jc w:val="both"/>
            </w:pPr>
            <w:r>
              <w:rPr>
                <w:rFonts w:ascii="Times New Roman" w:hAnsi="Times New Roman" w:eastAsia="Times New Roman" w:cs="Times New Roman"/>
                <w:b w:val="0"/>
                <w:color w:val="000000"/>
              </w:rPr>
              <w:t>•</w:t>
              <w:tab/>
              <w:t>Maintain a database of reported errors, near-misses, incidents and negative impacts including date reported, number of reports, assessment of impact and severity, and responses.</w:t>
            </w:r>
          </w:p>
          <w:p>
            <w:pPr>
              <w:spacing w:after="0"/>
              <w:ind w:left="403" w:hanging="259"/>
              <w:jc w:val="both"/>
            </w:pPr>
            <w:r>
              <w:rPr>
                <w:rFonts w:ascii="Times New Roman" w:hAnsi="Times New Roman" w:eastAsia="Times New Roman" w:cs="Times New Roman"/>
                <w:b w:val="0"/>
                <w:color w:val="000000"/>
              </w:rPr>
              <w:t>•</w:t>
              <w:tab/>
              <w:t>Maintain a database of system changes, reason for change, and details of how the change was made, tested and deployed.</w:t>
            </w:r>
          </w:p>
          <w:p>
            <w:pPr>
              <w:spacing w:after="0"/>
              <w:ind w:left="403" w:hanging="259"/>
              <w:jc w:val="both"/>
            </w:pPr>
            <w:r>
              <w:rPr>
                <w:rFonts w:ascii="Times New Roman" w:hAnsi="Times New Roman" w:eastAsia="Times New Roman" w:cs="Times New Roman"/>
                <w:b w:val="0"/>
                <w:color w:val="000000"/>
              </w:rPr>
              <w:t>•</w:t>
              <w:tab/>
              <w:t>Maintain version history information and metadata to enable continuous improvement processes.</w:t>
            </w:r>
          </w:p>
          <w:p>
            <w:pPr>
              <w:spacing w:after="0"/>
              <w:ind w:left="403" w:hanging="259"/>
              <w:jc w:val="both"/>
            </w:pPr>
            <w:r>
              <w:rPr>
                <w:rFonts w:ascii="Times New Roman" w:hAnsi="Times New Roman" w:eastAsia="Times New Roman" w:cs="Times New Roman"/>
                <w:b w:val="0"/>
                <w:color w:val="000000"/>
              </w:rPr>
              <w:t>•</w:t>
              <w:tab/>
              <w:t>Verify that relevant AI actors responsible for identifying complex or emergent risks are properly resourced and empowered.</w:t>
            </w:r>
          </w:p>
        </w:tc>
      </w:tr>
      <w:tr w:rsidR="00AC5C09" w14:paraId="0DFBFC7A"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color w:val="000000"/>
              </w:rPr>
              <w:t>Organizations can document the following</w:t>
            </w:r>
          </w:p>
          <w:p>
            <w:pPr>
              <w:spacing w:after="0"/>
              <w:ind w:left="403" w:hanging="259"/>
              <w:jc w:val="both"/>
            </w:pPr>
            <w:r>
              <w:rPr>
                <w:rFonts w:ascii="Times New Roman" w:hAnsi="Times New Roman" w:eastAsia="Times New Roman" w:cs="Times New Roman"/>
                <w:b w:val="0"/>
                <w:color w:val="000000"/>
              </w:rPr>
              <w:t>•</w:t>
              <w:tab/>
              <w:t>What corrective actions has the entity taken to enhance the quality, accuracy, reliability, and representativeness of the data?</w:t>
            </w:r>
          </w:p>
          <w:p>
            <w:pPr>
              <w:spacing w:after="0"/>
              <w:ind w:left="403" w:hanging="259"/>
              <w:jc w:val="both"/>
            </w:pPr>
            <w:r>
              <w:rPr>
                <w:rFonts w:ascii="Times New Roman" w:hAnsi="Times New Roman" w:eastAsia="Times New Roman" w:cs="Times New Roman"/>
                <w:b w:val="0"/>
                <w:color w:val="000000"/>
              </w:rPr>
              <w:t>•</w:t>
              <w:tab/>
              <w:t>To what extent does the entity communicate its AI strategic goals and objectives to the community of stakeholders? How easily accessible and current is the information available to external stakeholders?</w:t>
            </w:r>
          </w:p>
          <w:p>
            <w:pPr>
              <w:spacing w:after="0"/>
              <w:ind w:left="403" w:hanging="259"/>
              <w:jc w:val="both"/>
            </w:pPr>
            <w:r>
              <w:rPr>
                <w:rFonts w:ascii="Times New Roman" w:hAnsi="Times New Roman" w:eastAsia="Times New Roman" w:cs="Times New Roman"/>
                <w:b w:val="0"/>
                <w:color w:val="000000"/>
              </w:rPr>
              <w:t>•</w:t>
              <w:tab/>
              <w:t>What type of information is accessible on the design, operations, and limitations of the AI system to external stakeholders, including end users, consumers, regulators, and individuals impacted by use of the AI system?</w:t>
            </w:r>
          </w:p>
          <w:p>
            <w:pPr>
              <w:spacing w:after="0"/>
              <w:jc w:val="both"/>
            </w:pPr>
            <w:r>
              <w:rPr>
                <w:rFonts w:ascii="Times New Roman" w:hAnsi="Times New Roman" w:eastAsia="Times New Roman" w:cs="Times New Roman"/>
                <w:b/>
                <w:color w:val="000000"/>
              </w:rPr>
              <w:t>AI Transparency Resources</w:t>
            </w:r>
          </w:p>
          <w:p>
            <w:pPr>
              <w:spacing w:after="0"/>
              <w:ind w:left="403" w:hanging="259"/>
              <w:jc w:val="both"/>
            </w:pPr>
            <w:r>
              <w:rPr>
                <w:rFonts w:ascii="Times New Roman" w:hAnsi="Times New Roman" w:eastAsia="Times New Roman" w:cs="Times New Roman"/>
                <w:b w:val="0"/>
                <w:color w:val="000000"/>
              </w:rPr>
              <w:t>•</w:t>
              <w:tab/>
              <w:t>GAO-21-519SP - Artificial Intelligence: An Accountability Framework for Federal Agencies &amp; Other Entities. URL</w:t>
            </w:r>
          </w:p>
        </w:tc>
      </w:tr>
      <w:tr w:rsidR="00AC5C09" w14:paraId="0D73A2CD"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val="0"/>
                <w:color w:val="000000"/>
              </w:rPr>
              <w:t>Wei, M., &amp; Zhou, Z. (2022). AI Ethics Issues in Real World: Evidence from AI Incident Database. ArXiv, abs/2206.07635. URL</w:t>
            </w:r>
          </w:p>
          <w:p>
            <w:pPr>
              <w:spacing w:after="0"/>
              <w:jc w:val="both"/>
            </w:pPr>
            <w:r>
              <w:rPr>
                <w:rFonts w:ascii="Times New Roman" w:hAnsi="Times New Roman" w:eastAsia="Times New Roman" w:cs="Times New Roman"/>
                <w:b w:val="0"/>
                <w:color w:val="000000"/>
              </w:rPr>
              <w:t>McGregor, Sean. "Preventing repeated real world AI failures by cataloging incidents: The AI incident database." Proceedings of the AAAI Conference on Artificial Intelligence. Vol. 35. No. 17. 2021. URL</w:t>
            </w:r>
          </w:p>
          <w:p>
            <w:pPr>
              <w:spacing w:after="0"/>
              <w:jc w:val="both"/>
            </w:pPr>
            <w:r>
              <w:rPr>
                <w:rFonts w:ascii="Times New Roman" w:hAnsi="Times New Roman" w:eastAsia="Times New Roman" w:cs="Times New Roman"/>
                <w:b w:val="0"/>
                <w:color w:val="000000"/>
              </w:rPr>
              <w:t>Macrae, Carl. "Learning from the failure of autonomous and intelligent systems: Accidents, safety, and sociotechnical sources of risk." Risk analysis 42.9 (2022): 1999-2025. URL</w:t>
            </w:r>
          </w:p>
        </w:tc>
      </w:tr>
    </w:tbl>
    <w:sectPr w:rsidR="0018178A" w:rsidRPr="00C0173C" w:rsidSect="006F018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44DCD"/>
    <w:multiLevelType w:val="multilevel"/>
    <w:tmpl w:val="DF76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1535A"/>
    <w:multiLevelType w:val="multilevel"/>
    <w:tmpl w:val="E59E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F2A7A"/>
    <w:multiLevelType w:val="multilevel"/>
    <w:tmpl w:val="760A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E764C3"/>
    <w:multiLevelType w:val="multilevel"/>
    <w:tmpl w:val="D796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055E3C"/>
    <w:multiLevelType w:val="multilevel"/>
    <w:tmpl w:val="BA54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A227B7"/>
    <w:multiLevelType w:val="multilevel"/>
    <w:tmpl w:val="ADE6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7C2FAA"/>
    <w:multiLevelType w:val="multilevel"/>
    <w:tmpl w:val="9B8C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500535"/>
    <w:multiLevelType w:val="multilevel"/>
    <w:tmpl w:val="DA7E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F2501F"/>
    <w:multiLevelType w:val="multilevel"/>
    <w:tmpl w:val="F422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8E3B71"/>
    <w:multiLevelType w:val="multilevel"/>
    <w:tmpl w:val="2148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E40315"/>
    <w:multiLevelType w:val="multilevel"/>
    <w:tmpl w:val="F0D82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3A6B96"/>
    <w:multiLevelType w:val="multilevel"/>
    <w:tmpl w:val="68A2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972CC0"/>
    <w:multiLevelType w:val="multilevel"/>
    <w:tmpl w:val="D736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1E73BA"/>
    <w:multiLevelType w:val="multilevel"/>
    <w:tmpl w:val="02782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4E1AF0"/>
    <w:multiLevelType w:val="multilevel"/>
    <w:tmpl w:val="21CE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F136E0"/>
    <w:multiLevelType w:val="multilevel"/>
    <w:tmpl w:val="BE8E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F9780B"/>
    <w:multiLevelType w:val="multilevel"/>
    <w:tmpl w:val="2F8C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382E41"/>
    <w:multiLevelType w:val="multilevel"/>
    <w:tmpl w:val="4E52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5A1E90"/>
    <w:multiLevelType w:val="multilevel"/>
    <w:tmpl w:val="539A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046B19"/>
    <w:multiLevelType w:val="multilevel"/>
    <w:tmpl w:val="D5F4A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115472"/>
    <w:multiLevelType w:val="multilevel"/>
    <w:tmpl w:val="C9F66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B505B7"/>
    <w:multiLevelType w:val="multilevel"/>
    <w:tmpl w:val="D002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4E778D"/>
    <w:multiLevelType w:val="multilevel"/>
    <w:tmpl w:val="3B62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6F1DF8"/>
    <w:multiLevelType w:val="multilevel"/>
    <w:tmpl w:val="DD7E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0474">
    <w:abstractNumId w:val="13"/>
  </w:num>
  <w:num w:numId="2" w16cid:durableId="1380740426">
    <w:abstractNumId w:val="8"/>
  </w:num>
  <w:num w:numId="3" w16cid:durableId="981034842">
    <w:abstractNumId w:val="12"/>
  </w:num>
  <w:num w:numId="4" w16cid:durableId="1849756946">
    <w:abstractNumId w:val="17"/>
  </w:num>
  <w:num w:numId="5" w16cid:durableId="1506238401">
    <w:abstractNumId w:val="5"/>
  </w:num>
  <w:num w:numId="6" w16cid:durableId="851649969">
    <w:abstractNumId w:val="16"/>
  </w:num>
  <w:num w:numId="7" w16cid:durableId="288436860">
    <w:abstractNumId w:val="0"/>
  </w:num>
  <w:num w:numId="8" w16cid:durableId="785276069">
    <w:abstractNumId w:val="11"/>
  </w:num>
  <w:num w:numId="9" w16cid:durableId="642740023">
    <w:abstractNumId w:val="18"/>
  </w:num>
  <w:num w:numId="10" w16cid:durableId="1460608878">
    <w:abstractNumId w:val="19"/>
  </w:num>
  <w:num w:numId="11" w16cid:durableId="1318682457">
    <w:abstractNumId w:val="22"/>
  </w:num>
  <w:num w:numId="12" w16cid:durableId="1423917133">
    <w:abstractNumId w:val="7"/>
  </w:num>
  <w:num w:numId="13" w16cid:durableId="1255437099">
    <w:abstractNumId w:val="15"/>
  </w:num>
  <w:num w:numId="14" w16cid:durableId="592277052">
    <w:abstractNumId w:val="21"/>
  </w:num>
  <w:num w:numId="15" w16cid:durableId="1781294733">
    <w:abstractNumId w:val="6"/>
  </w:num>
  <w:num w:numId="16" w16cid:durableId="71436833">
    <w:abstractNumId w:val="23"/>
  </w:num>
  <w:num w:numId="17" w16cid:durableId="675772335">
    <w:abstractNumId w:val="10"/>
  </w:num>
  <w:num w:numId="18" w16cid:durableId="578171005">
    <w:abstractNumId w:val="2"/>
  </w:num>
  <w:num w:numId="19" w16cid:durableId="991519101">
    <w:abstractNumId w:val="3"/>
  </w:num>
  <w:num w:numId="20" w16cid:durableId="907225379">
    <w:abstractNumId w:val="4"/>
  </w:num>
  <w:num w:numId="21" w16cid:durableId="1352220233">
    <w:abstractNumId w:val="9"/>
  </w:num>
  <w:num w:numId="22" w16cid:durableId="434522052">
    <w:abstractNumId w:val="20"/>
  </w:num>
  <w:num w:numId="23" w16cid:durableId="2113894204">
    <w:abstractNumId w:val="14"/>
  </w:num>
  <w:num w:numId="24" w16cid:durableId="14644700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BF5"/>
    <w:rsid w:val="000C4310"/>
    <w:rsid w:val="00110BF5"/>
    <w:rsid w:val="00130188"/>
    <w:rsid w:val="0018178A"/>
    <w:rsid w:val="00391A33"/>
    <w:rsid w:val="003F232C"/>
    <w:rsid w:val="004B7BAE"/>
    <w:rsid w:val="005C40EC"/>
    <w:rsid w:val="006B29DA"/>
    <w:rsid w:val="006F0184"/>
    <w:rsid w:val="007838E2"/>
    <w:rsid w:val="007A2ED7"/>
    <w:rsid w:val="00864629"/>
    <w:rsid w:val="00950F7A"/>
    <w:rsid w:val="00AA7BE1"/>
    <w:rsid w:val="00AC5C09"/>
    <w:rsid w:val="00BD7E36"/>
    <w:rsid w:val="00C0173C"/>
    <w:rsid w:val="00C765CB"/>
    <w:rsid w:val="00E155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2502A"/>
  <w15:chartTrackingRefBased/>
  <w15:docId w15:val="{DC62B97B-3AD5-4E04-A20E-FCE56CE0F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0B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10B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10B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0B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0B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0B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0B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0B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0B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B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10B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10B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0B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0B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0B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0B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0B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0BF5"/>
    <w:rPr>
      <w:rFonts w:eastAsiaTheme="majorEastAsia" w:cstheme="majorBidi"/>
      <w:color w:val="272727" w:themeColor="text1" w:themeTint="D8"/>
    </w:rPr>
  </w:style>
  <w:style w:type="paragraph" w:styleId="Title">
    <w:name w:val="Title"/>
    <w:basedOn w:val="Normal"/>
    <w:next w:val="Normal"/>
    <w:link w:val="TitleChar"/>
    <w:uiPriority w:val="10"/>
    <w:qFormat/>
    <w:rsid w:val="00110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B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0B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B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0BF5"/>
    <w:pPr>
      <w:spacing w:before="160"/>
      <w:jc w:val="center"/>
    </w:pPr>
    <w:rPr>
      <w:i/>
      <w:iCs/>
      <w:color w:val="404040" w:themeColor="text1" w:themeTint="BF"/>
    </w:rPr>
  </w:style>
  <w:style w:type="character" w:customStyle="1" w:styleId="QuoteChar">
    <w:name w:val="Quote Char"/>
    <w:basedOn w:val="DefaultParagraphFont"/>
    <w:link w:val="Quote"/>
    <w:uiPriority w:val="29"/>
    <w:rsid w:val="00110BF5"/>
    <w:rPr>
      <w:i/>
      <w:iCs/>
      <w:color w:val="404040" w:themeColor="text1" w:themeTint="BF"/>
    </w:rPr>
  </w:style>
  <w:style w:type="paragraph" w:styleId="ListParagraph">
    <w:name w:val="List Paragraph"/>
    <w:basedOn w:val="Normal"/>
    <w:uiPriority w:val="34"/>
    <w:qFormat/>
    <w:rsid w:val="00110BF5"/>
    <w:pPr>
      <w:ind w:left="720"/>
      <w:contextualSpacing/>
    </w:pPr>
  </w:style>
  <w:style w:type="character" w:styleId="IntenseEmphasis">
    <w:name w:val="Intense Emphasis"/>
    <w:basedOn w:val="DefaultParagraphFont"/>
    <w:uiPriority w:val="21"/>
    <w:qFormat/>
    <w:rsid w:val="00110BF5"/>
    <w:rPr>
      <w:i/>
      <w:iCs/>
      <w:color w:val="2F5496" w:themeColor="accent1" w:themeShade="BF"/>
    </w:rPr>
  </w:style>
  <w:style w:type="paragraph" w:styleId="IntenseQuote">
    <w:name w:val="Intense Quote"/>
    <w:basedOn w:val="Normal"/>
    <w:next w:val="Normal"/>
    <w:link w:val="IntenseQuoteChar"/>
    <w:uiPriority w:val="30"/>
    <w:qFormat/>
    <w:rsid w:val="00110B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0BF5"/>
    <w:rPr>
      <w:i/>
      <w:iCs/>
      <w:color w:val="2F5496" w:themeColor="accent1" w:themeShade="BF"/>
    </w:rPr>
  </w:style>
  <w:style w:type="character" w:styleId="IntenseReference">
    <w:name w:val="Intense Reference"/>
    <w:basedOn w:val="DefaultParagraphFont"/>
    <w:uiPriority w:val="32"/>
    <w:qFormat/>
    <w:rsid w:val="00110BF5"/>
    <w:rPr>
      <w:b/>
      <w:bCs/>
      <w:smallCaps/>
      <w:color w:val="2F5496" w:themeColor="accent1" w:themeShade="BF"/>
      <w:spacing w:val="5"/>
    </w:rPr>
  </w:style>
  <w:style w:type="character" w:styleId="Hyperlink">
    <w:name w:val="Hyperlink"/>
    <w:basedOn w:val="DefaultParagraphFont"/>
    <w:uiPriority w:val="99"/>
    <w:unhideWhenUsed/>
    <w:rsid w:val="00C0173C"/>
    <w:rPr>
      <w:color w:val="0563C1" w:themeColor="hyperlink"/>
      <w:u w:val="single"/>
    </w:rPr>
  </w:style>
  <w:style w:type="character" w:styleId="UnresolvedMention">
    <w:name w:val="Unresolved Mention"/>
    <w:basedOn w:val="DefaultParagraphFont"/>
    <w:uiPriority w:val="99"/>
    <w:semiHidden/>
    <w:unhideWhenUsed/>
    <w:rsid w:val="00C0173C"/>
    <w:rPr>
      <w:color w:val="605E5C"/>
      <w:shd w:val="clear" w:color="auto" w:fill="E1DFDD"/>
    </w:rPr>
  </w:style>
  <w:style w:type="paragraph" w:styleId="TOCHeading">
    <w:name w:val="TOC Heading"/>
    <w:basedOn w:val="Heading1"/>
    <w:next w:val="Normal"/>
    <w:uiPriority w:val="39"/>
    <w:unhideWhenUsed/>
    <w:qFormat/>
    <w:rsid w:val="00C0173C"/>
    <w:pPr>
      <w:spacing w:before="240" w:after="0" w:line="259" w:lineRule="auto"/>
      <w:outlineLvl w:val="9"/>
    </w:pPr>
    <w:rPr>
      <w:kern w:val="0"/>
      <w:sz w:val="32"/>
      <w:szCs w:val="32"/>
      <w14:ligatures w14:val="none"/>
    </w:rPr>
  </w:style>
  <w:style w:type="table" w:styleId="TableGrid">
    <w:name w:val="Table Grid"/>
    <w:basedOn w:val="TableNormal"/>
    <w:uiPriority w:val="39"/>
    <w:rsid w:val="008646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130188"/>
    <w:pPr>
      <w:spacing w:after="100"/>
    </w:pPr>
  </w:style>
  <w:style w:type="paragraph" w:styleId="TOC2">
    <w:name w:val="toc 2"/>
    <w:basedOn w:val="Normal"/>
    <w:next w:val="Normal"/>
    <w:autoRedefine/>
    <w:uiPriority w:val="39"/>
    <w:unhideWhenUsed/>
    <w:rsid w:val="00130188"/>
    <w:pPr>
      <w:spacing w:after="100"/>
      <w:ind w:left="240"/>
    </w:pPr>
  </w:style>
  <w:style w:type="paragraph" w:styleId="TOC3">
    <w:name w:val="toc 3"/>
    <w:basedOn w:val="Normal"/>
    <w:next w:val="Normal"/>
    <w:autoRedefine/>
    <w:uiPriority w:val="39"/>
    <w:unhideWhenUsed/>
    <w:rsid w:val="0013018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eatworks.org/ai-disability-inclusion-toolkit/ai-hiring-tools-and-the-law/" TargetMode="External"/><Relationship Id="rId18" Type="http://schemas.openxmlformats.org/officeDocument/2006/relationships/hyperlink" Target="https://proceedings.neurips.cc/paper/2018/file/8e0384779e58ce2af40eb365b318cc32-Paper.pdf" TargetMode="External"/><Relationship Id="rId26" Type="http://schemas.openxmlformats.org/officeDocument/2006/relationships/hyperlink" Target="https://www.plainlanguage.gov/" TargetMode="External"/><Relationship Id="rId39" Type="http://schemas.openxmlformats.org/officeDocument/2006/relationships/hyperlink" Target="https://arxiv.org/pdf/2211.13130.pdf" TargetMode="External"/><Relationship Id="rId21" Type="http://schemas.openxmlformats.org/officeDocument/2006/relationships/hyperlink" Target="https://www.sas.com/content/dam/SAS/en_us/doc/whitepaper1/sas-data-governance-framework-107325.pdf" TargetMode="External"/><Relationship Id="rId34" Type="http://schemas.openxmlformats.org/officeDocument/2006/relationships/hyperlink" Target="https://www.occ.gov/publications-and-resources/publications/comptrollers-handbook/files/model-risk-management/index-model-risk-management.html" TargetMode="External"/><Relationship Id="rId42" Type="http://schemas.openxmlformats.org/officeDocument/2006/relationships/hyperlink" Target="https://doi.org/10.6028/NIST.IR.8367" TargetMode="External"/><Relationship Id="rId47" Type="http://schemas.openxmlformats.org/officeDocument/2006/relationships/hyperlink" Target="https://nvlpubs.nist.gov/nistpubs/specialpublications/nist.sp.800-61r2.pdf" TargetMode="External"/><Relationship Id="rId50" Type="http://schemas.openxmlformats.org/officeDocument/2006/relationships/hyperlink" Target="https://ieeexplore.ieee.org/stamp/stamp.jsp?arnumber=1488512" TargetMode="External"/><Relationship Id="rId55" Type="http://schemas.openxmlformats.org/officeDocument/2006/relationships/hyperlink" Target="http://arxiv.org/abs/1803.09010" TargetMode="External"/><Relationship Id="rId7" Type="http://schemas.openxmlformats.org/officeDocument/2006/relationships/hyperlink" Target="https://airc.nist.gov/AI_RMF_Knowledge_Base/AI_RMF/Core_And_Profiles/5-sec-core" TargetMode="External"/><Relationship Id="rId2" Type="http://schemas.openxmlformats.org/officeDocument/2006/relationships/numbering" Target="numbering.xml"/><Relationship Id="rId16" Type="http://schemas.openxmlformats.org/officeDocument/2006/relationships/hyperlink" Target="https://www.gao.gov/assets/gao-21-519sp.pdf" TargetMode="External"/><Relationship Id="rId29" Type="http://schemas.openxmlformats.org/officeDocument/2006/relationships/hyperlink" Target="https://www.occ.treas.gov/publications-and-resources/publications/banker-education/files/pub-risk-appetite-statement.pdf" TargetMode="External"/><Relationship Id="rId11" Type="http://schemas.openxmlformats.org/officeDocument/2006/relationships/hyperlink" Target="https://law.yale.edu/sites/default/files/area/center/isp/documents/algorithms_and_economic_justice_master_final.pdf" TargetMode="External"/><Relationship Id="rId24" Type="http://schemas.openxmlformats.org/officeDocument/2006/relationships/hyperlink" Target="https://nvlpubs.nist.gov/nistpubs/cswp/nist.cswp.04162018.pdf" TargetMode="External"/><Relationship Id="rId32" Type="http://schemas.openxmlformats.org/officeDocument/2006/relationships/hyperlink" Target="https://www.gao.gov/products/gao-21-519sp" TargetMode="External"/><Relationship Id="rId37" Type="http://schemas.openxmlformats.org/officeDocument/2006/relationships/hyperlink" Target="https://techpolicylab.uw.edu/wp-content/uploads/2021/11/Data_Statements_Guide_V2.pdf" TargetMode="External"/><Relationship Id="rId40" Type="http://schemas.openxmlformats.org/officeDocument/2006/relationships/hyperlink" Target="http://sites.computer.org/debull/A21dec/p47.pdf" TargetMode="External"/><Relationship Id="rId45" Type="http://schemas.openxmlformats.org/officeDocument/2006/relationships/hyperlink" Target="https://www.pdpc.gov.sg/-/media/Files/PDPC/PDF-Files/Resource-for-Organisation/AI/SGModelAIGovFramework2.pdf" TargetMode="External"/><Relationship Id="rId53" Type="http://schemas.openxmlformats.org/officeDocument/2006/relationships/hyperlink" Target="https://www.gao.gov/products/gao-21-519sp" TargetMode="External"/><Relationship Id="rId58" Type="http://schemas.openxmlformats.org/officeDocument/2006/relationships/hyperlink" Target="https://arxiv.org/pdf/2206.03275v1"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s://cltc.berkeley.edu/wp-content/uploads/2023/01/Taxonomy_of_AI_Trustworthiness.pdf" TargetMode="External"/><Relationship Id="rId14" Type="http://schemas.openxmlformats.org/officeDocument/2006/relationships/hyperlink" Target="https://www.gao.gov/products/gao-21-519sp" TargetMode="External"/><Relationship Id="rId22" Type="http://schemas.openxmlformats.org/officeDocument/2006/relationships/hyperlink" Target="https://www.iso.org/standard/38607.html" TargetMode="External"/><Relationship Id="rId27" Type="http://schemas.openxmlformats.org/officeDocument/2006/relationships/hyperlink" Target="https://www.gao.gov/products/gao-21-519sp" TargetMode="External"/><Relationship Id="rId30" Type="http://schemas.openxmlformats.org/officeDocument/2006/relationships/hyperlink" Target="https://www.garp.org/risk-intelligence/culture-governance/how-to-develop-an-enterprise-risk-rating-approach" TargetMode="External"/><Relationship Id="rId35" Type="http://schemas.openxmlformats.org/officeDocument/2006/relationships/hyperlink" Target="https://arxiv.org/pdf/1810.03993.pdf" TargetMode="External"/><Relationship Id="rId43" Type="http://schemas.openxmlformats.org/officeDocument/2006/relationships/hyperlink" Target="https://doi.org/10.1787/cb6d9eca-en" TargetMode="External"/><Relationship Id="rId48" Type="http://schemas.openxmlformats.org/officeDocument/2006/relationships/hyperlink" Target="https://www.gao.gov/products/gao-21-519sp" TargetMode="External"/><Relationship Id="rId56" Type="http://schemas.openxmlformats.org/officeDocument/2006/relationships/hyperlink" Target="https://cdt.org/wp-content/uploads/2017/02/2017-02-23-Data-Deletion-FNL2.pdf" TargetMode="External"/><Relationship Id="rId8" Type="http://schemas.openxmlformats.org/officeDocument/2006/relationships/image" Target="media/image1.png"/><Relationship Id="rId51" Type="http://schemas.openxmlformats.org/officeDocument/2006/relationships/hyperlink" Target="https://www.occ.gov/publications-and-resources/publications/comptrollers-handbook/files/model-risk-management/index-model-risk-management.html" TargetMode="External"/><Relationship Id="rId3" Type="http://schemas.openxmlformats.org/officeDocument/2006/relationships/styles" Target="styles.xml"/><Relationship Id="rId12" Type="http://schemas.openxmlformats.org/officeDocument/2006/relationships/hyperlink" Target="https://www.frontiersin.org/articles/10.3389/frai.2021.695301/full" TargetMode="External"/><Relationship Id="rId17" Type="http://schemas.openxmlformats.org/officeDocument/2006/relationships/hyperlink" Target="https://www.nist.gov/system/files/documents/2019/08/10/ai_standards_fedengagement_plan_9aug2019.pdf" TargetMode="External"/><Relationship Id="rId25" Type="http://schemas.openxmlformats.org/officeDocument/2006/relationships/hyperlink" Target="https://www.nist.gov/publications/nist-privacy-framework-tool-improving-privacy-through-enterprise-risk-management." TargetMode="External"/><Relationship Id="rId33" Type="http://schemas.openxmlformats.org/officeDocument/2006/relationships/hyperlink" Target="https://www.intelligence.gov/artificial-intelligence-ethics-framework-for-the-intelligence-community" TargetMode="External"/><Relationship Id="rId38" Type="http://schemas.openxmlformats.org/officeDocument/2006/relationships/hyperlink" Target="https://techpolicylab.uw.edu/wp-content/uploads/2021/11/Data_Statements_Guide_V2.pdf" TargetMode="External"/><Relationship Id="rId46" Type="http://schemas.openxmlformats.org/officeDocument/2006/relationships/hyperlink" Target="https://nvlpubs.nist.gov/nistpubs/cswp/nist.cswp.04162018.pdf" TargetMode="External"/><Relationship Id="rId59" Type="http://schemas.openxmlformats.org/officeDocument/2006/relationships/hyperlink" Target="https://www.blm.gov/sites/blm.gov/files/uploads/IM2011-174_att1.pdf" TargetMode="External"/><Relationship Id="rId20" Type="http://schemas.openxmlformats.org/officeDocument/2006/relationships/hyperlink" Target="https://arxiv.org/abs/2212.00740" TargetMode="External"/><Relationship Id="rId41" Type="http://schemas.openxmlformats.org/officeDocument/2006/relationships/hyperlink" Target="https://christophm.github.io/interpretable-ml-book/" TargetMode="External"/><Relationship Id="rId54" Type="http://schemas.openxmlformats.org/officeDocument/2006/relationships/hyperlink" Target="https://www.intelligence.gov/artificial-intelligence-ethics-framework-for-the-intelligence-community" TargetMode="External"/><Relationship Id="rId1" Type="http://schemas.openxmlformats.org/officeDocument/2006/relationships/customXml" Target="../customXml/item1.xml"/><Relationship Id="rId6" Type="http://schemas.openxmlformats.org/officeDocument/2006/relationships/hyperlink" Target="https://airc.nist.gov/AI_RMF_Knowledge_Base/AI_RMF" TargetMode="External"/><Relationship Id="rId15" Type="http://schemas.openxmlformats.org/officeDocument/2006/relationships/hyperlink" Target="https://www.occ.gov/publications-and-resources/publications/comptrollers-handbook/files/model-risk-management/index-model-risk-management.html" TargetMode="External"/><Relationship Id="rId23" Type="http://schemas.openxmlformats.org/officeDocument/2006/relationships/hyperlink" Target="https://www.peatworks.org/ai-disability-inclusion-toolkit/the-equitable-ai-playbook/play-5-create-a-formal-equitable-ai-policy/" TargetMode="External"/><Relationship Id="rId28" Type="http://schemas.openxmlformats.org/officeDocument/2006/relationships/hyperlink" Target="https://www.federalreserve.gov/supervisionreg/srletters/sr1107.htm" TargetMode="External"/><Relationship Id="rId36" Type="http://schemas.openxmlformats.org/officeDocument/2006/relationships/hyperlink" Target="https://arxiv.org/pdf/1803.09010.pdf" TargetMode="External"/><Relationship Id="rId49" Type="http://schemas.openxmlformats.org/officeDocument/2006/relationships/hyperlink" Target="https://www.intelligence.gov/artificial-intelligence-ethics-framework-for-the-intelligence-community" TargetMode="External"/><Relationship Id="rId57" Type="http://schemas.openxmlformats.org/officeDocument/2006/relationships/hyperlink" Target="https://journals.sagepub.com/doi/full/10.1177/20539517221115426" TargetMode="External"/><Relationship Id="rId10" Type="http://schemas.openxmlformats.org/officeDocument/2006/relationships/hyperlink" Target="https://www.ftc.gov/business-guidance/blog/2020/04/using-artificial-intelligence-and-algorithms" TargetMode="External"/><Relationship Id="rId31" Type="http://schemas.openxmlformats.org/officeDocument/2006/relationships/hyperlink" Target="https://www.gao.gov/assets/gao-17-63.pdf" TargetMode="External"/><Relationship Id="rId44" Type="http://schemas.openxmlformats.org/officeDocument/2006/relationships/hyperlink" Target="https://www.gao.gov/products/gao-21-519sp" TargetMode="External"/><Relationship Id="rId52" Type="http://schemas.openxmlformats.org/officeDocument/2006/relationships/hyperlink" Target="https://github.com/VertaAI/modeldb"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gao.gov/products/gao-21-519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D8CAA2-24DA-44C2-93D2-4FA0AF7B91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18</Pages>
  <Words>4782</Words>
  <Characters>27258</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Fuji Xpro</dc:creator>
  <cp:keywords/>
  <dc:description/>
  <cp:lastModifiedBy>Fuji Xpro</cp:lastModifiedBy>
  <cp:revision>9</cp:revision>
  <dcterms:created xsi:type="dcterms:W3CDTF">2026-05-11T07:43:00Z</dcterms:created>
  <dcterms:modified xsi:type="dcterms:W3CDTF">2026-05-11T14:20:00Z</dcterms:modified>
</cp:coreProperties>
</file>