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TENTH AMENDMENT (2020)</w:t>
      </w:r>
    </w:p>
    <w:p>
      <w:r>
        <w:t>Section 21 is amended to increase insurance requirements to $5,000,000 per occurrence and $10,000,000 aggregate.</w:t>
      </w:r>
    </w:p>
    <w:p>
      <w:r>
        <w:t>Professional liability coverage shall include clinical trial and cyber liability where electronic systems are used.</w:t>
      </w:r>
    </w:p>
    <w:p>
      <w:pPr>
        <w:jc w:val="left"/>
      </w:pPr>
      <w:r>
        <w:rPr>
          <w:b/>
        </w:rPr>
        <w:t>SIGNATURES</w:t>
      </w:r>
    </w:p>
    <w:p>
      <w:r>
        <w:t>PHARMA A</w:t>
        <w:br/>
        <w:t>By: ___________________</w:t>
        <w:br/>
        <w:t>Name:</w:t>
        <w:br/>
        <w:t>Title:</w:t>
        <w:br/>
        <w:t>Date:</w:t>
        <w:br/>
      </w:r>
    </w:p>
    <w:p>
      <w:r>
        <w:t>CRO 1 CLINICAL RESEARCH SERVICES, INC.</w:t>
        <w:br/>
        <w:t>By: ___________________</w:t>
        <w:br/>
        <w:t>Name:</w:t>
        <w:br/>
        <w:t>Title:</w:t>
        <w:br/>
        <w:t>Date: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