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rPr>
        <w:t>SECOND AMENDMENT (2009)</w:t>
      </w:r>
    </w:p>
    <w:p>
      <w:r>
        <w:t>Section 7.1 is amended to expand Confidential Information to include pricing schedules, budgets, cost models, governance materials, and operational methodologies.</w:t>
      </w:r>
    </w:p>
    <w:p>
      <w:r>
        <w:t>Section 7.3 is amended by adding the following sentence at the end:</w:t>
      </w:r>
    </w:p>
    <w:p>
      <w:r>
        <w:t>“Pharma A agrees that it shall not disclose CRO’s financial information, including rate cards, financial forecasts, or internal costing structures, to any third party without CRO’s prior written consent, except as required by law.” This change reflects enhanced commercial confidentiality protections.</w:t>
      </w:r>
    </w:p>
    <w:p>
      <w:pPr>
        <w:jc w:val="left"/>
      </w:pPr>
      <w:r>
        <w:rPr>
          <w:b/>
        </w:rPr>
        <w:t>SIGNATURES</w:t>
      </w:r>
    </w:p>
    <w:p>
      <w:r>
        <w:t>PHARMA A</w:t>
        <w:br/>
        <w:t>By: ___________________</w:t>
        <w:br/>
        <w:t>Name:</w:t>
        <w:br/>
        <w:t>Title:</w:t>
        <w:br/>
        <w:t>Date:</w:t>
        <w:br/>
      </w:r>
    </w:p>
    <w:p>
      <w:r>
        <w:t>CRO 1 CLINICAL RESEARCH SERVICES, INC.</w:t>
        <w:br/>
        <w:t>By: ___________________</w:t>
        <w:br/>
        <w:t>Name:</w:t>
        <w:br/>
        <w:t>Title:</w:t>
        <w:br/>
        <w:t>Date: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