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FOURTH AMENDMENT (2012)</w:t>
      </w:r>
    </w:p>
    <w:p>
      <w:r>
        <w:t>Exhibit A is amended to incorporate Attachment C – Change Order Form.</w:t>
      </w:r>
    </w:p>
    <w:p>
      <w:r>
        <w:t>Attachment C shall include Study ID, Description of Scope Change, Budget Impact, Timeline Impact, Regulatory Impact, and Approval Signatures.</w:t>
      </w:r>
    </w:p>
    <w:p>
      <w:r>
        <w:t>No scope modification shall be effective without a mutually executed Change Order Form to ensure financial and regulatory traceability.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