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SEVENTH AMENDMENT (2016)</w:t>
      </w:r>
    </w:p>
    <w:p>
      <w:r>
        <w:t>Section 3.7B is deleted and replaced with a rebate structure applicable to Oncology Program Omega-21.</w:t>
      </w:r>
    </w:p>
    <w:p>
      <w:r>
        <w:t>Upon achieving $18,000,000 in annual net receivables, Pharma A shall receive a 5% rebate on eligible professional fees.</w:t>
      </w:r>
    </w:p>
    <w:p>
      <w:r>
        <w:t>The rebate shall be calculated annually and issued as a credit memo within ninety (90) days following reconciliation.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</w:t>
        <w:br/>
        <w:t>Name:</w:t>
        <w:br/>
        <w:t>Title:</w:t>
        <w:br/>
        <w:t>Date:</w:t>
        <w:br/>
      </w:r>
    </w:p>
    <w:p>
      <w:r>
        <w:t>CRO 1 CLINICAL RESEARCH SERVICES, INC.</w:t>
        <w:br/>
        <w:t>By: ___________________</w:t>
        <w:br/>
        <w:t>Name:</w:t>
        <w:br/>
        <w:t>Title:</w:t>
        <w:br/>
        <w:t>Date: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