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EIGHTH AMENDMENT (2017)</w:t>
      </w:r>
    </w:p>
    <w:p>
      <w:r>
        <w:t>Section 14 is amended to include remote audit rights and electronic Trial Master File access.</w:t>
      </w:r>
    </w:p>
    <w:p>
      <w:r>
        <w:t>CRO shall provide secure read-only system access during regulatory inspections.</w:t>
      </w:r>
    </w:p>
    <w:p>
      <w:pPr>
        <w:jc w:val="left"/>
      </w:pPr>
      <w:r>
        <w:rPr>
          <w:b/>
        </w:rPr>
        <w:t>SIGNATURES</w:t>
      </w:r>
    </w:p>
    <w:p>
      <w:r>
        <w:t>PHARMA A</w:t>
        <w:br/>
        <w:t>By: ___________________</w:t>
        <w:br/>
        <w:t>Name:</w:t>
        <w:br/>
        <w:t>Title:</w:t>
        <w:br/>
        <w:t>Date:</w:t>
        <w:br/>
      </w:r>
    </w:p>
    <w:p>
      <w:r>
        <w:t>CRO 1 CLINICAL RESEARCH SERVICES, INC.</w:t>
        <w:br/>
        <w:t>By: ___________________</w:t>
        <w:br/>
        <w:t>Name:</w:t>
        <w:br/>
        <w:t>Title:</w:t>
        <w:br/>
        <w:t>Date: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