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NINTH AMENDMENT (2018)</w:t>
      </w:r>
    </w:p>
    <w:p>
      <w:r>
        <w:t>Section 19 is amended to require 24-hour notification of FDA, EMA, or comparable authority inspections or debarment proceedings.</w:t>
      </w:r>
    </w:p>
    <w:p>
      <w:r>
        <w:t>Notification shall include scope and anticipated timelines.</w:t>
      </w:r>
    </w:p>
    <w:p>
      <w:pPr>
        <w:jc w:val="left"/>
      </w:pPr>
      <w:r>
        <w:rPr>
          <w:b/>
        </w:rPr>
        <w:t>SIGNATURES</w:t>
      </w:r>
    </w:p>
    <w:p>
      <w:r>
        <w:t>PHARMA A</w:t>
        <w:br/>
        <w:t>By: ___________________</w:t>
        <w:br/>
        <w:t>Name:</w:t>
        <w:br/>
        <w:t>Title:</w:t>
        <w:br/>
        <w:t>Date:</w:t>
        <w:br/>
      </w:r>
    </w:p>
    <w:p>
      <w:r>
        <w:t>CRO 1 CLINICAL RESEARCH SERVICES, INC.</w:t>
        <w:br/>
        <w:t>By: ___________________</w:t>
        <w:br/>
        <w:t>Name:</w:t>
        <w:br/>
        <w:t>Title:</w:t>
        <w:br/>
        <w:t>Date: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