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TENTH AMENDMENT TO MASTER SERVICES AGREEMENT</w:t>
      </w:r>
    </w:p>
    <w:p>
      <w:r>
        <w:t>Effective January 1, 2020.</w:t>
      </w:r>
    </w:p>
    <w:p>
      <w:pPr>
        <w:jc w:val="left"/>
      </w:pPr>
      <w:r>
        <w:rPr>
          <w:b/>
        </w:rPr>
        <w:t>Amendment to Section 21 – Insurance</w:t>
      </w:r>
    </w:p>
    <w:p>
      <w:r>
        <w:t>Minimum CGL and Professional Liability coverage increased to $5,000,000 per occurrence and $10,000,000 aggregate.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