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FOURTH AMENDMENT TO MASTER SERVICES AGREEMENT</w:t>
      </w:r>
    </w:p>
    <w:p>
      <w:r>
        <w:t>Effective May 1, 2012.</w:t>
      </w:r>
    </w:p>
    <w:p>
      <w:pPr>
        <w:jc w:val="left"/>
      </w:pPr>
      <w:r>
        <w:rPr>
          <w:b/>
        </w:rPr>
        <w:t>Amendment to Exhibit A</w:t>
      </w:r>
    </w:p>
    <w:p>
      <w:r>
        <w:t>Exhibit A revised. Attachment C – Change Order Form added.</w:t>
      </w:r>
    </w:p>
    <w:p>
      <w:r>
        <w:t>Attachment C fields: Study ID; Description; Budget Impact; Timeline Impact; Regulatory Impact; Approval Signatures.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