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SEVENTH AMENDMENT TO MASTER SERVICES AGREEMENT</w:t>
      </w:r>
    </w:p>
    <w:p>
      <w:r>
        <w:t>Effective March 1, 2016.</w:t>
      </w:r>
    </w:p>
    <w:p>
      <w:pPr>
        <w:jc w:val="left"/>
      </w:pPr>
      <w:r>
        <w:rPr>
          <w:b/>
        </w:rPr>
        <w:t>Replacement of Section 3.7B</w:t>
      </w:r>
    </w:p>
    <w:p>
      <w:r>
        <w:t>Section 3.7B replaced with Oncology Program Alpha-21 rebate: 5% rebate upon reaching $15M annual net receivables.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____________________</w:t>
        <w:br/>
        <w:t>Date:</w:t>
      </w:r>
    </w:p>
    <w:p>
      <w:r>
        <w:t>CRO 1 CLINICAL RESEARCH SERVICES, INC.</w:t>
        <w:br/>
        <w:t>By: ____________________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