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200"/>
      </w:pPr>
      <w:r>
        <w:rPr>
          <w:rFonts w:ascii="Arial" w:cs="Arial" w:eastAsia="Arial" w:hAnsi="Arial"/>
          <w:b/>
          <w:bCs/>
          <w:color w:val="1B3A5C"/>
          <w:sz w:val="52"/>
          <w:szCs w:val="52"/>
        </w:rPr>
        <w:t xml:space="preserve">User Experience</w:t>
      </w:r>
    </w:p>
    <w:p>
      <w:pPr>
        <w:spacing w:after="200"/>
      </w:pPr>
      <w:r>
        <w:rPr>
          <w:rFonts w:ascii="Arial" w:cs="Arial" w:eastAsia="Arial" w:hAnsi="Arial"/>
          <w:b/>
          <w:bCs/>
          <w:color w:val="1B3A5C"/>
          <w:sz w:val="52"/>
          <w:szCs w:val="52"/>
        </w:rPr>
        <w:t xml:space="preserve">Design Document</w:t>
      </w:r>
    </w:p>
    <w:p>
      <w:pPr>
        <w:pBdr>
          <w:top w:val="single" w:color="D4740A" w:sz="8" w:space="8"/>
        </w:pBdr>
        <w:spacing w:before="100" w:after="80"/>
      </w:pPr>
      <w:r>
        <w:rPr>
          <w:rFonts w:ascii="Arial" w:cs="Arial" w:eastAsia="Arial" w:hAnsi="Arial"/>
          <w:color w:val="2E6B9E"/>
          <w:sz w:val="26"/>
          <w:szCs w:val="26"/>
        </w:rPr>
        <w:t xml:space="preserve">Estimand-Driven Intelligent Monitoring Platform</w:t>
      </w:r>
    </w:p>
    <w:p>
      <w:pPr>
        <w:spacing w:after="60"/>
      </w:pPr>
      <w:r>
        <w:rPr>
          <w:rFonts w:ascii="Arial" w:cs="Arial" w:eastAsia="Arial" w:hAnsi="Arial"/>
          <w:color w:val="666666"/>
          <w:sz w:val="22"/>
          <w:szCs w:val="22"/>
        </w:rPr>
        <w:t xml:space="preserve">Features 0 – 4: Interaction Design &amp; Screen Specifications</w:t>
      </w:r>
    </w:p>
    <w:p>
      <w:pPr>
        <w:spacing w:before="2400"/>
      </w:pPr>
    </w:p>
    <w:p>
      <w:r>
        <w:rPr>
          <w:rFonts w:ascii="Arial" w:cs="Arial" w:eastAsia="Arial" w:hAnsi="Arial"/>
          <w:b/>
          <w:bCs/>
          <w:color w:val="666666"/>
          <w:sz w:val="20"/>
          <w:szCs w:val="20"/>
        </w:rPr>
        <w:t xml:space="preserve">CONFIDENTIAL</w:t>
      </w:r>
    </w:p>
    <w:p>
      <w:pPr>
        <w:sectPr>
          <w:pgSz w:w="12240" w:h="15840" w:orient="portrait"/>
          <w:pgMar w:top="1440" w:right="1440" w:bottom="1440" w:left="1440" w:header="708" w:footer="708" w:gutter="0"/>
          <w:pgNumType/>
          <w:docGrid w:linePitch="360"/>
        </w:sectPr>
      </w:pPr>
    </w:p>
    <w:p>
      <w:pPr>
        <w:pBdr>
          <w:bottom w:val="single" w:color="1B3A5C" w:sz="6" w:space="4"/>
        </w:pBdr>
        <w:spacing w:before="400" w:after="160"/>
      </w:pPr>
      <w:r>
        <w:rPr>
          <w:rFonts w:ascii="Arial" w:cs="Arial" w:eastAsia="Arial" w:hAnsi="Arial"/>
          <w:b/>
          <w:bCs/>
          <w:color w:val="1B3A5C"/>
          <w:sz w:val="28"/>
          <w:szCs w:val="28"/>
        </w:rPr>
        <w:t xml:space="preserve">Design Philosophy</w:t>
      </w:r>
    </w:p>
    <w:p>
      <w:pPr>
        <w:spacing w:before="240" w:after="80"/>
      </w:pPr>
      <w:r>
        <w:rPr>
          <w:rFonts w:ascii="Arial" w:cs="Arial" w:eastAsia="Arial" w:hAnsi="Arial"/>
          <w:b/>
          <w:bCs/>
          <w:color w:val="1B3A5C"/>
          <w:sz w:val="21"/>
          <w:szCs w:val="21"/>
        </w:rPr>
        <w:t xml:space="preserve">Core Principle: Clinical Intelligence, Not Data Display</w:t>
      </w:r>
    </w:p>
    <w:p>
      <w:pPr>
        <w:spacing w:before="60" w:after="60" w:line="276"/>
      </w:pPr>
      <w:r>
        <w:rPr>
          <w:rFonts w:ascii="Arial" w:cs="Arial" w:eastAsia="Arial" w:hAnsi="Arial"/>
          <w:color w:val="333333"/>
          <w:sz w:val="20"/>
          <w:szCs w:val="20"/>
        </w:rPr>
        <w:t xml:space="preserve">Every screen in this platform answers a clinical question — not “here is your data” but “here is what matters, why it matters, and what to do about it.” The interface is designed for clinical professionals who are experts in their domain but overwhelmed by the volume and fragmentation of information they must synthesize. The platform’s job is to do the synthesis; the user’s job is to apply judgment.</w:t>
      </w:r>
    </w:p>
    <w:p>
      <w:pPr>
        <w:spacing w:before="240" w:after="80"/>
      </w:pPr>
      <w:r>
        <w:rPr>
          <w:rFonts w:ascii="Arial" w:cs="Arial" w:eastAsia="Arial" w:hAnsi="Arial"/>
          <w:b/>
          <w:bCs/>
          <w:color w:val="1B3A5C"/>
          <w:sz w:val="21"/>
          <w:szCs w:val="21"/>
        </w:rPr>
        <w:t xml:space="preserve">Human-in-the-Loop as a Design Pattern</w:t>
      </w:r>
    </w:p>
    <w:p>
      <w:pPr>
        <w:spacing w:before="60" w:after="60" w:line="276"/>
      </w:pPr>
      <w:r>
        <w:rPr>
          <w:rFonts w:ascii="Arial" w:cs="Arial" w:eastAsia="Arial" w:hAnsi="Arial"/>
          <w:color w:val="333333"/>
          <w:sz w:val="20"/>
          <w:szCs w:val="20"/>
        </w:rPr>
        <w:t xml:space="preserve">Human involvement is not a compliance checkbox appended to the end of each workflow. It is a first-class interaction pattern that shapes every screen: validation workflows in Feature 0 present the model as an editable draft with confidence flags, not a finished output. Signal cards in Feature 1 present evidence and recommended actions, never automated determinations. The investigation interface in Feature 2 is a conversation driven by the user’s questions. The dossier in Feature 3 is a preparation tool with disposition recording. The MVR CoPilot in Feature 4 drafts sections the CRA reviews, edits, and owns.</w:t>
      </w:r>
    </w:p>
    <w:p>
      <w:pPr>
        <w:spacing w:before="240" w:after="80"/>
      </w:pPr>
      <w:r>
        <w:rPr>
          <w:rFonts w:ascii="Arial" w:cs="Arial" w:eastAsia="Arial" w:hAnsi="Arial"/>
          <w:b/>
          <w:bCs/>
          <w:color w:val="1B3A5C"/>
          <w:sz w:val="21"/>
          <w:szCs w:val="21"/>
        </w:rPr>
        <w:t xml:space="preserve">Information Hierarchy: Priority → Consequence → Evidence → Action</w:t>
      </w:r>
    </w:p>
    <w:p>
      <w:pPr>
        <w:spacing w:before="60" w:after="60" w:line="276"/>
      </w:pPr>
      <w:r>
        <w:rPr>
          <w:rFonts w:ascii="Arial" w:cs="Arial" w:eastAsia="Arial" w:hAnsi="Arial"/>
          <w:color w:val="333333"/>
          <w:sz w:val="20"/>
          <w:szCs w:val="20"/>
        </w:rPr>
        <w:t xml:space="preserve">Every signal, finding, and recommendation follows a consistent information hierarchy. The user sees priority first (what demands attention), then consequence (why it matters to the trial), then evidence (the data behind it), then action (what to do). This hierarchy is maintained across all features — from the signal dashboard to the dossier to the investigation interface — so users build muscle memory for how the platform communicates.</w:t>
      </w:r>
    </w:p>
    <w:p>
      <w:pPr>
        <w:spacing w:before="240" w:after="80"/>
      </w:pPr>
      <w:r>
        <w:rPr>
          <w:rFonts w:ascii="Arial" w:cs="Arial" w:eastAsia="Arial" w:hAnsi="Arial"/>
          <w:b/>
          <w:bCs/>
          <w:color w:val="1B3A5C"/>
          <w:sz w:val="21"/>
          <w:szCs w:val="21"/>
        </w:rPr>
        <w:t xml:space="preserve">Progressive Disclosure</w:t>
      </w:r>
    </w:p>
    <w:p>
      <w:pPr>
        <w:spacing w:before="60" w:after="60" w:line="276"/>
      </w:pPr>
      <w:r>
        <w:rPr>
          <w:rFonts w:ascii="Arial" w:cs="Arial" w:eastAsia="Arial" w:hAnsi="Arial"/>
          <w:color w:val="333333"/>
          <w:sz w:val="20"/>
          <w:szCs w:val="20"/>
        </w:rPr>
        <w:t xml:space="preserve">Summaries lead. Details are one click away. Evidence is always accessible but never forced. A CRA scanning 15 signals at a site should be able to triage in under a minute; a CRA investigating a specific signal should be able to reach the underlying data in two clicks. The interface supports both the “scan and decide” workflow and the “drill deep” workflow without requiring the user to switch tools.</w:t>
      </w:r>
    </w:p>
    <w:p>
      <w:pPr>
        <w:spacing w:before="240" w:after="80"/>
      </w:pPr>
      <w:r>
        <w:rPr>
          <w:rFonts w:ascii="Arial" w:cs="Arial" w:eastAsia="Arial" w:hAnsi="Arial"/>
          <w:b/>
          <w:bCs/>
          <w:color w:val="1B3A5C"/>
          <w:sz w:val="21"/>
          <w:szCs w:val="21"/>
        </w:rPr>
        <w:t xml:space="preserve">Design Language</w:t>
      </w:r>
    </w:p>
    <w:p>
      <w:pPr>
        <w:spacing w:before="60" w:after="60" w:line="276"/>
      </w:pPr>
      <w:r>
        <w:rPr>
          <w:rFonts w:ascii="Arial" w:cs="Arial" w:eastAsia="Arial" w:hAnsi="Arial"/>
          <w:color w:val="333333"/>
          <w:sz w:val="20"/>
          <w:szCs w:val="20"/>
        </w:rPr>
        <w:t xml:space="preserve">The visual system uses a restrained palette: navy for structure and headings, a warm accent for urgency and attention, and a traffic-light coding system (red/amber/green) for status that clinical users already understand intuitively. Typography is clean and information-dense — this is a professional tool, not a consumer application. Whitespace is used to separate logical groups, not to create visual lightness at the expense of information density.</w:t>
      </w:r>
    </w:p>
    <w:p>
      <w:pPr>
        <w:pBdr>
          <w:bottom w:val="single" w:color="1B3A5C" w:sz="6" w:space="4"/>
        </w:pBdr>
        <w:spacing w:before="400" w:after="160"/>
      </w:pPr>
      <w:r>
        <w:rPr>
          <w:rFonts w:ascii="Arial" w:cs="Arial" w:eastAsia="Arial" w:hAnsi="Arial"/>
          <w:b/>
          <w:bCs/>
          <w:color w:val="1B3A5C"/>
          <w:sz w:val="28"/>
          <w:szCs w:val="28"/>
        </w:rPr>
        <w:t xml:space="preserve">Global Application Shell</w:t>
      </w:r>
    </w:p>
    <w:p>
      <w:pPr>
        <w:spacing w:before="320" w:after="120"/>
      </w:pPr>
      <w:r>
        <w:rPr>
          <w:rFonts w:ascii="Arial" w:cs="Arial" w:eastAsia="Arial" w:hAnsi="Arial"/>
          <w:b/>
          <w:bCs/>
          <w:color w:val="2E6B9E"/>
          <w:sz w:val="24"/>
          <w:szCs w:val="24"/>
        </w:rPr>
        <w:t xml:space="preserve">Navigation Structure</w:t>
      </w:r>
    </w:p>
    <w:p>
      <w:pPr>
        <w:spacing w:before="60" w:after="60" w:line="276"/>
      </w:pPr>
      <w:r>
        <w:rPr>
          <w:rFonts w:ascii="Arial" w:cs="Arial" w:eastAsia="Arial" w:hAnsi="Arial"/>
          <w:color w:val="333333"/>
          <w:sz w:val="20"/>
          <w:szCs w:val="20"/>
        </w:rPr>
        <w:t xml:space="preserve">The platform uses a persistent left sidebar for primary navigation with a contextual header bar.</w:t>
      </w:r>
    </w:p>
    <w:p>
      <w:pPr>
        <w:spacing w:before="240" w:after="80"/>
      </w:pPr>
      <w:r>
        <w:rPr>
          <w:rFonts w:ascii="Arial" w:cs="Arial" w:eastAsia="Arial" w:hAnsi="Arial"/>
          <w:b/>
          <w:bCs/>
          <w:color w:val="1B3A5C"/>
          <w:sz w:val="21"/>
          <w:szCs w:val="21"/>
        </w:rPr>
        <w:t xml:space="preserve">Left Sidebar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6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pPr>
              <w:spacing w:line="252"/>
            </w:pPr>
            <w:r>
              <w:rPr>
                <w:rFonts w:ascii="Arial" w:cs="Arial" w:eastAsia="Arial" w:hAnsi="Arial"/>
                <w:b/>
                <w:bCs/>
                <w:color w:val="1B3A5C"/>
                <w:sz w:val="18"/>
                <w:szCs w:val="18"/>
              </w:rPr>
              <w:t xml:space="preserve">Study Selector</w:t>
            </w:r>
          </w:p>
        </w:tc>
        <w:tc>
          <w:tcPr>
            <w:tcW w:type="dxa" w:w="676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pPr>
              <w:spacing w:line="252"/>
            </w:pPr>
            <w:r>
              <w:rPr>
                <w:rFonts w:ascii="Arial" w:cs="Arial" w:eastAsia="Arial" w:hAnsi="Arial"/>
                <w:color w:val="333333"/>
                <w:sz w:val="18"/>
                <w:szCs w:val="18"/>
              </w:rPr>
              <w:t xml:space="preserve">Dropdown at the top of the sidebar. Shows current study name, protocol number, and amendment version. Switching studies reloads all context.</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52"/>
            </w:pPr>
            <w:r>
              <w:rPr>
                <w:rFonts w:ascii="Arial" w:cs="Arial" w:eastAsia="Arial" w:hAnsi="Arial"/>
                <w:b/>
                <w:bCs/>
                <w:color w:val="1B3A5C"/>
                <w:sz w:val="18"/>
                <w:szCs w:val="18"/>
              </w:rPr>
              <w:t xml:space="preserve">Criticality Model</w:t>
            </w:r>
          </w:p>
        </w:tc>
        <w:tc>
          <w:tcPr>
            <w:tcW w:type="dxa" w:w="67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52"/>
            </w:pPr>
            <w:r>
              <w:rPr>
                <w:rFonts w:ascii="Arial" w:cs="Arial" w:eastAsia="Arial" w:hAnsi="Arial"/>
                <w:color w:val="333333"/>
                <w:sz w:val="18"/>
                <w:szCs w:val="18"/>
              </w:rPr>
              <w:t xml:space="preserve">Feature 0. Links to derivation tree viewer, tier classification editor, RBQM governance package, and version history.</w:t>
            </w:r>
          </w:p>
        </w:tc>
      </w:tr>
      <w:tr>
        <w:tc>
          <w:tcPr>
            <w:tcW w:type="dxa" w:w="260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pPr>
              <w:spacing w:line="252"/>
            </w:pPr>
            <w:r>
              <w:rPr>
                <w:rFonts w:ascii="Arial" w:cs="Arial" w:eastAsia="Arial" w:hAnsi="Arial"/>
                <w:b/>
                <w:bCs/>
                <w:color w:val="1B3A5C"/>
                <w:sz w:val="18"/>
                <w:szCs w:val="18"/>
              </w:rPr>
              <w:t xml:space="preserve">Signal Dashboard</w:t>
            </w:r>
          </w:p>
        </w:tc>
        <w:tc>
          <w:tcPr>
            <w:tcW w:type="dxa" w:w="676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pPr>
              <w:spacing w:line="252"/>
            </w:pPr>
            <w:r>
              <w:rPr>
                <w:rFonts w:ascii="Arial" w:cs="Arial" w:eastAsia="Arial" w:hAnsi="Arial"/>
                <w:color w:val="333333"/>
                <w:sz w:val="18"/>
                <w:szCs w:val="18"/>
              </w:rPr>
              <w:t xml:space="preserve">Feature 1. The primary operational view. Shows all active signals across sites with filtering, sorting, and priority-based organization.</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52"/>
            </w:pPr>
            <w:r>
              <w:rPr>
                <w:rFonts w:ascii="Arial" w:cs="Arial" w:eastAsia="Arial" w:hAnsi="Arial"/>
                <w:b/>
                <w:bCs/>
                <w:color w:val="1B3A5C"/>
                <w:sz w:val="18"/>
                <w:szCs w:val="18"/>
              </w:rPr>
              <w:t xml:space="preserve">Investigation</w:t>
            </w:r>
          </w:p>
        </w:tc>
        <w:tc>
          <w:tcPr>
            <w:tcW w:type="dxa" w:w="67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52"/>
            </w:pPr>
            <w:r>
              <w:rPr>
                <w:rFonts w:ascii="Arial" w:cs="Arial" w:eastAsia="Arial" w:hAnsi="Arial"/>
                <w:color w:val="333333"/>
                <w:sz w:val="18"/>
                <w:szCs w:val="18"/>
              </w:rPr>
              <w:t xml:space="preserve">Feature 2. Opens the conversational investigation interface. Can be launched contextually from any signal card.</w:t>
            </w:r>
          </w:p>
        </w:tc>
      </w:tr>
      <w:tr>
        <w:tc>
          <w:tcPr>
            <w:tcW w:type="dxa" w:w="260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pPr>
              <w:spacing w:line="252"/>
            </w:pPr>
            <w:r>
              <w:rPr>
                <w:rFonts w:ascii="Arial" w:cs="Arial" w:eastAsia="Arial" w:hAnsi="Arial"/>
                <w:b/>
                <w:bCs/>
                <w:color w:val="1B3A5C"/>
                <w:sz w:val="18"/>
                <w:szCs w:val="18"/>
              </w:rPr>
              <w:t xml:space="preserve">Site Dossiers</w:t>
            </w:r>
          </w:p>
        </w:tc>
        <w:tc>
          <w:tcPr>
            <w:tcW w:type="dxa" w:w="676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pPr>
              <w:spacing w:line="252"/>
            </w:pPr>
            <w:r>
              <w:rPr>
                <w:rFonts w:ascii="Arial" w:cs="Arial" w:eastAsia="Arial" w:hAnsi="Arial"/>
                <w:color w:val="333333"/>
                <w:sz w:val="18"/>
                <w:szCs w:val="18"/>
              </w:rPr>
              <w:t xml:space="preserve">Feature 3. Site selector leading to the most recent dossier for each site, with access to prior cycles.</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52"/>
            </w:pPr>
            <w:r>
              <w:rPr>
                <w:rFonts w:ascii="Arial" w:cs="Arial" w:eastAsia="Arial" w:hAnsi="Arial"/>
                <w:b/>
                <w:bCs/>
                <w:color w:val="1B3A5C"/>
                <w:sz w:val="18"/>
                <w:szCs w:val="18"/>
              </w:rPr>
              <w:t xml:space="preserve">MVR CoPilot</w:t>
            </w:r>
          </w:p>
        </w:tc>
        <w:tc>
          <w:tcPr>
            <w:tcW w:type="dxa" w:w="67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52"/>
            </w:pPr>
            <w:r>
              <w:rPr>
                <w:rFonts w:ascii="Arial" w:cs="Arial" w:eastAsia="Arial" w:hAnsi="Arial"/>
                <w:color w:val="333333"/>
                <w:sz w:val="18"/>
                <w:szCs w:val="18"/>
              </w:rPr>
              <w:t xml:space="preserve">Feature 4. Lists visits pending MVR creation and in-progress drafts.</w:t>
            </w:r>
          </w:p>
        </w:tc>
      </w:tr>
      <w:tr>
        <w:tc>
          <w:tcPr>
            <w:tcW w:type="dxa" w:w="260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pPr>
              <w:spacing w:line="252"/>
            </w:pPr>
            <w:r>
              <w:rPr>
                <w:rFonts w:ascii="Arial" w:cs="Arial" w:eastAsia="Arial" w:hAnsi="Arial"/>
                <w:b/>
                <w:bCs/>
                <w:color w:val="1B3A5C"/>
                <w:sz w:val="18"/>
                <w:szCs w:val="18"/>
              </w:rPr>
              <w:t xml:space="preserve">Study Overview</w:t>
            </w:r>
          </w:p>
        </w:tc>
        <w:tc>
          <w:tcPr>
            <w:tcW w:type="dxa" w:w="676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pPr>
              <w:spacing w:line="252"/>
            </w:pPr>
            <w:r>
              <w:rPr>
                <w:rFonts w:ascii="Arial" w:cs="Arial" w:eastAsia="Arial" w:hAnsi="Arial"/>
                <w:color w:val="333333"/>
                <w:sz w:val="18"/>
                <w:szCs w:val="18"/>
              </w:rPr>
              <w:t xml:space="preserve">KRI dashboards, QTL monitoring, enrollment tracker, and aggregate quality metrics derived from signal detection.</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52"/>
            </w:pPr>
            <w:r>
              <w:rPr>
                <w:rFonts w:ascii="Arial" w:cs="Arial" w:eastAsia="Arial" w:hAnsi="Arial"/>
                <w:b/>
                <w:bCs/>
                <w:color w:val="1B3A5C"/>
                <w:sz w:val="18"/>
                <w:szCs w:val="18"/>
              </w:rPr>
              <w:t xml:space="preserve">Data Status</w:t>
            </w:r>
          </w:p>
        </w:tc>
        <w:tc>
          <w:tcPr>
            <w:tcW w:type="dxa" w:w="67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52"/>
            </w:pPr>
            <w:r>
              <w:rPr>
                <w:rFonts w:ascii="Arial" w:cs="Arial" w:eastAsia="Arial" w:hAnsi="Arial"/>
                <w:color w:val="333333"/>
                <w:sz w:val="18"/>
                <w:szCs w:val="18"/>
              </w:rPr>
              <w:t xml:space="preserve">Ingestion monitoring: latest export dates per source, validation status, processing cycle history.</w:t>
            </w:r>
          </w:p>
        </w:tc>
      </w:tr>
      <w:tr>
        <w:tc>
          <w:tcPr>
            <w:tcW w:type="dxa" w:w="260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pPr>
              <w:spacing w:line="252"/>
            </w:pPr>
            <w:r>
              <w:rPr>
                <w:rFonts w:ascii="Arial" w:cs="Arial" w:eastAsia="Arial" w:hAnsi="Arial"/>
                <w:b/>
                <w:bCs/>
                <w:color w:val="1B3A5C"/>
                <w:sz w:val="18"/>
                <w:szCs w:val="18"/>
              </w:rPr>
              <w:t xml:space="preserve">Configuration</w:t>
            </w:r>
          </w:p>
        </w:tc>
        <w:tc>
          <w:tcPr>
            <w:tcW w:type="dxa" w:w="676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pPr>
              <w:spacing w:line="252"/>
            </w:pPr>
            <w:r>
              <w:rPr>
                <w:rFonts w:ascii="Arial" w:cs="Arial" w:eastAsia="Arial" w:hAnsi="Arial"/>
                <w:color w:val="333333"/>
                <w:sz w:val="18"/>
                <w:szCs w:val="18"/>
              </w:rPr>
              <w:t xml:space="preserve">Study setup: data source mappings, identity resolution rules, reconciliation thresholds, MVR template. Admin-only.</w:t>
            </w:r>
          </w:p>
        </w:tc>
      </w:tr>
    </w:tbl>
    <w:p>
      <w:pPr>
        <w:spacing w:before="240" w:after="80"/>
      </w:pPr>
      <w:r>
        <w:rPr>
          <w:rFonts w:ascii="Arial" w:cs="Arial" w:eastAsia="Arial" w:hAnsi="Arial"/>
          <w:b/>
          <w:bCs/>
          <w:color w:val="1B3A5C"/>
          <w:sz w:val="21"/>
          <w:szCs w:val="21"/>
        </w:rPr>
        <w:t xml:space="preserve">Contextual Header Bar</w:t>
      </w:r>
    </w:p>
    <w:p>
      <w:pPr>
        <w:spacing w:before="60" w:after="60" w:line="276"/>
      </w:pPr>
      <w:r>
        <w:rPr>
          <w:rFonts w:ascii="Arial" w:cs="Arial" w:eastAsia="Arial" w:hAnsi="Arial"/>
          <w:color w:val="333333"/>
          <w:sz w:val="20"/>
          <w:szCs w:val="20"/>
        </w:rPr>
        <w:t xml:space="preserve">A persistent header bar across the top of the content area shows: the current screen title, a breadcrumb trail for navigation depth (e.g., Site Dossiers &gt; Site 1042 &gt; Cycle 2024-11), a global search field that searches across signals, subjects, sites, and documents, and a notification badge for items requiring attention (safety signals awaiting review, data validation failures, pending approvals).</w:t>
      </w:r>
    </w:p>
    <w:p>
      <w:pPr>
        <w:spacing w:before="240" w:after="80"/>
      </w:pPr>
      <w:r>
        <w:rPr>
          <w:rFonts w:ascii="Arial" w:cs="Arial" w:eastAsia="Arial" w:hAnsi="Arial"/>
          <w:b/>
          <w:bCs/>
          <w:color w:val="1B3A5C"/>
          <w:sz w:val="21"/>
          <w:szCs w:val="21"/>
        </w:rPr>
        <w:t xml:space="preserve">Notification System</w:t>
      </w:r>
    </w:p>
    <w:p>
      <w:pPr>
        <w:spacing w:before="60" w:after="60" w:line="276"/>
      </w:pPr>
      <w:r>
        <w:rPr>
          <w:rFonts w:ascii="Arial" w:cs="Arial" w:eastAsia="Arial" w:hAnsi="Arial"/>
          <w:color w:val="333333"/>
          <w:sz w:val="20"/>
          <w:szCs w:val="20"/>
        </w:rPr>
        <w:t xml:space="preserve">Notifications are categorized by urgency. Safety-critical signals requiring mandatory human review appear as persistent banners at the top of any screen until acknowledged. Data validation failures appear as alerts in the Data Status section with visual indicators on the sidebar icon. Dossier readiness notifications appear when a new cycle’s dossier is available. Non-urgent notifications (completed processing, feedback confirmation) appear in a notification drawer accessible from the header.</w:t>
      </w:r>
    </w:p>
    <w:p>
      <w:pPr>
        <w:pBdr>
          <w:bottom w:val="single" w:color="1B3A5C" w:sz="6" w:space="4"/>
        </w:pBdr>
        <w:spacing w:before="400" w:after="160"/>
      </w:pPr>
      <w:r>
        <w:rPr>
          <w:rFonts w:ascii="Arial" w:cs="Arial" w:eastAsia="Arial" w:hAnsi="Arial"/>
          <w:b/>
          <w:bCs/>
          <w:color w:val="1B3A5C"/>
          <w:sz w:val="28"/>
          <w:szCs w:val="28"/>
        </w:rPr>
        <w:t xml:space="preserve">Feature 0: Criticality Model Builder</w:t>
      </w:r>
    </w:p>
    <w:p>
      <w:pPr>
        <w:pBdr>
          <w:top w:val="single" w:color="2E6B9E" w:sz="1" w:space="1"/>
          <w:bottom w:val="single" w:color="2E6B9E" w:sz="1" w:space="1"/>
        </w:pBdr>
        <w:shd w:fill="E8F0F8" w:val="clear"/>
        <w:spacing w:before="160" w:after="160"/>
        <w:ind w:left="200" w:right="200"/>
      </w:pPr>
      <w:r>
        <w:rPr>
          <w:rFonts w:ascii="Arial" w:cs="Arial" w:eastAsia="Arial" w:hAnsi="Arial"/>
          <w:i/>
          <w:iCs/>
          <w:color w:val="1B3A5C"/>
          <w:sz w:val="19"/>
          <w:szCs w:val="19"/>
        </w:rPr>
        <w:t xml:space="preserve">Primary users: Study Statistician, Medical Monitor, Study Manager. Used during study setup and protocol amendments. The most consequential human review in the platform.</w:t>
      </w:r>
    </w:p>
    <w:p>
      <w:pPr>
        <w:spacing w:before="320" w:after="120"/>
      </w:pPr>
      <w:r>
        <w:rPr>
          <w:rFonts w:ascii="Arial" w:cs="Arial" w:eastAsia="Arial" w:hAnsi="Arial"/>
          <w:b/>
          <w:bCs/>
          <w:color w:val="2E6B9E"/>
          <w:sz w:val="24"/>
          <w:szCs w:val="24"/>
        </w:rPr>
        <w:t xml:space="preserve">Screen 0.1: Document Upload &amp; Extraction</w:t>
      </w:r>
    </w:p>
    <w:p>
      <w:pPr>
        <w:spacing w:before="160" w:after="60"/>
      </w:pPr>
      <w:r>
        <w:rPr>
          <w:rFonts w:ascii="Arial" w:cs="Arial" w:eastAsia="Arial" w:hAnsi="Arial"/>
          <w:b/>
          <w:bCs/>
          <w:i/>
          <w:iCs/>
          <w:color w:val="2E6B9E"/>
          <w:sz w:val="20"/>
          <w:szCs w:val="20"/>
        </w:rPr>
        <w:t xml:space="preserve">Purpose</w:t>
      </w:r>
    </w:p>
    <w:p>
      <w:pPr>
        <w:spacing w:before="60" w:after="60" w:line="276"/>
      </w:pPr>
      <w:r>
        <w:rPr>
          <w:rFonts w:ascii="Arial" w:cs="Arial" w:eastAsia="Arial" w:hAnsi="Arial"/>
          <w:color w:val="333333"/>
          <w:sz w:val="20"/>
          <w:szCs w:val="20"/>
        </w:rPr>
        <w:t xml:space="preserve">Upload protocol, SAP, and optionally the annotated CRF. Trigger LLM extraction. Monitor progress.</w:t>
      </w:r>
    </w:p>
    <w:p>
      <w:pPr>
        <w:spacing w:before="160" w:after="60"/>
      </w:pPr>
      <w:r>
        <w:rPr>
          <w:rFonts w:ascii="Arial" w:cs="Arial" w:eastAsia="Arial" w:hAnsi="Arial"/>
          <w:b/>
          <w:bCs/>
          <w:i/>
          <w:iCs/>
          <w:color w:val="2E6B9E"/>
          <w:sz w:val="20"/>
          <w:szCs w:val="20"/>
        </w:rPr>
        <w:t xml:space="preserve">Layout</w:t>
      </w:r>
    </w:p>
    <w:p>
      <w:pPr>
        <w:spacing w:before="60" w:after="60" w:line="276"/>
      </w:pPr>
      <w:r>
        <w:rPr>
          <w:rFonts w:ascii="Arial" w:cs="Arial" w:eastAsia="Arial" w:hAnsi="Arial"/>
          <w:color w:val="333333"/>
          <w:sz w:val="20"/>
          <w:szCs w:val="20"/>
        </w:rPr>
        <w:t xml:space="preserve">A clean upload area occupies the center of the screen. Three document slots are presented: Protocol (required), SAP (required), and Annotated CRF (strongly recommended, with a visible note explaining that without it, CRF-to-SDTM mappings will require more manual correction). Each slot shows the document name, upload timestamp, page count, and a status indicator (uploaded / processing / extracted / error).</w:t>
      </w:r>
    </w:p>
    <w:p>
      <w:pPr>
        <w:spacing w:before="160" w:after="60"/>
      </w:pPr>
      <w:r>
        <w:rPr>
          <w:rFonts w:ascii="Arial" w:cs="Arial" w:eastAsia="Arial" w:hAnsi="Arial"/>
          <w:b/>
          <w:bCs/>
          <w:i/>
          <w:iCs/>
          <w:color w:val="2E6B9E"/>
          <w:sz w:val="20"/>
          <w:szCs w:val="20"/>
        </w:rPr>
        <w:t xml:space="preserve">Interaction Flow</w:t>
      </w:r>
    </w:p>
    <w:p>
      <w:pPr>
        <w:spacing w:before="60" w:after="60" w:line="276"/>
      </w:pPr>
      <w:r>
        <w:rPr>
          <w:rFonts w:ascii="Arial" w:cs="Arial" w:eastAsia="Arial" w:hAnsi="Arial"/>
          <w:b/>
          <w:bCs/>
          <w:color w:val="333333"/>
          <w:sz w:val="20"/>
          <w:szCs w:val="20"/>
        </w:rPr>
        <w:t xml:space="preserve">Upload. </w:t>
      </w:r>
      <w:r>
        <w:rPr>
          <w:rFonts w:ascii="Arial" w:cs="Arial" w:eastAsia="Arial" w:hAnsi="Arial"/>
          <w:color w:val="333333"/>
          <w:sz w:val="20"/>
          <w:szCs w:val="20"/>
        </w:rPr>
        <w:t xml:space="preserve">User drags files or clicks to browse. The platform validates file format (PDF, DOCX) and confirms receipt. A progress indicator shows extraction status with estimated time.</w:t>
      </w:r>
    </w:p>
    <w:p>
      <w:pPr>
        <w:spacing w:before="60" w:after="60" w:line="276"/>
      </w:pPr>
      <w:r>
        <w:rPr>
          <w:rFonts w:ascii="Arial" w:cs="Arial" w:eastAsia="Arial" w:hAnsi="Arial"/>
          <w:b/>
          <w:bCs/>
          <w:color w:val="333333"/>
          <w:sz w:val="20"/>
          <w:szCs w:val="20"/>
        </w:rPr>
        <w:t xml:space="preserve">Extraction progress. </w:t>
      </w:r>
      <w:r>
        <w:rPr>
          <w:rFonts w:ascii="Arial" w:cs="Arial" w:eastAsia="Arial" w:hAnsi="Arial"/>
          <w:color w:val="333333"/>
          <w:sz w:val="20"/>
          <w:szCs w:val="20"/>
        </w:rPr>
        <w:t xml:space="preserve">A real-time progress panel shows what the LLM is currently extracting: “Identifying estimands from SAP... Tracing derivation chain for primary endpoint... Mapping SDTM domains to CRF fields...” This transparency builds trust and sets expectations for the validation that follows.</w:t>
      </w:r>
    </w:p>
    <w:p>
      <w:pPr>
        <w:spacing w:before="60" w:after="60" w:line="276"/>
      </w:pPr>
      <w:r>
        <w:rPr>
          <w:rFonts w:ascii="Arial" w:cs="Arial" w:eastAsia="Arial" w:hAnsi="Arial"/>
          <w:b/>
          <w:bCs/>
          <w:color w:val="333333"/>
          <w:sz w:val="20"/>
          <w:szCs w:val="20"/>
        </w:rPr>
        <w:t xml:space="preserve">Completion. </w:t>
      </w:r>
      <w:r>
        <w:rPr>
          <w:rFonts w:ascii="Arial" w:cs="Arial" w:eastAsia="Arial" w:hAnsi="Arial"/>
          <w:color w:val="333333"/>
          <w:sz w:val="20"/>
          <w:szCs w:val="20"/>
        </w:rPr>
        <w:t xml:space="preserve">When extraction completes, a summary card shows: number of estimands identified, number of derivation chains traced, number of CRF fields classified by tier (Tier 1 / Tier 2 / Tier 3 counts), and number of derivation chains flagged as low-confidence. A prominent “Review Draft Model” button navigates to the validation interface.</w:t>
      </w:r>
    </w:p>
    <w:p>
      <w:pPr>
        <w:spacing w:before="320" w:after="120"/>
      </w:pPr>
      <w:r>
        <w:rPr>
          <w:rFonts w:ascii="Arial" w:cs="Arial" w:eastAsia="Arial" w:hAnsi="Arial"/>
          <w:b/>
          <w:bCs/>
          <w:color w:val="2E6B9E"/>
          <w:sz w:val="24"/>
          <w:szCs w:val="24"/>
        </w:rPr>
        <w:t xml:space="preserve">Screen 0.2: Derivation Tree Viewer</w:t>
      </w:r>
    </w:p>
    <w:p>
      <w:pPr>
        <w:spacing w:before="160" w:after="60"/>
      </w:pPr>
      <w:r>
        <w:rPr>
          <w:rFonts w:ascii="Arial" w:cs="Arial" w:eastAsia="Arial" w:hAnsi="Arial"/>
          <w:b/>
          <w:bCs/>
          <w:i/>
          <w:iCs/>
          <w:color w:val="2E6B9E"/>
          <w:sz w:val="20"/>
          <w:szCs w:val="20"/>
        </w:rPr>
        <w:t xml:space="preserve">Purpose</w:t>
      </w:r>
    </w:p>
    <w:p>
      <w:pPr>
        <w:spacing w:before="60" w:after="60" w:line="276"/>
      </w:pPr>
      <w:r>
        <w:rPr>
          <w:rFonts w:ascii="Arial" w:cs="Arial" w:eastAsia="Arial" w:hAnsi="Arial"/>
          <w:color w:val="333333"/>
          <w:sz w:val="20"/>
          <w:szCs w:val="20"/>
        </w:rPr>
        <w:t xml:space="preserve">The primary validation interface. Presents the criticality model as an interactive, navigable derivation tree that the statistician walks to validate completeness.</w:t>
      </w:r>
    </w:p>
    <w:p>
      <w:pPr>
        <w:spacing w:before="160" w:after="60"/>
      </w:pPr>
      <w:r>
        <w:rPr>
          <w:rFonts w:ascii="Arial" w:cs="Arial" w:eastAsia="Arial" w:hAnsi="Arial"/>
          <w:b/>
          <w:bCs/>
          <w:i/>
          <w:iCs/>
          <w:color w:val="2E6B9E"/>
          <w:sz w:val="20"/>
          <w:szCs w:val="20"/>
        </w:rPr>
        <w:t xml:space="preserve">Layout</w:t>
      </w:r>
    </w:p>
    <w:p>
      <w:pPr>
        <w:spacing w:before="60" w:after="60" w:line="276"/>
      </w:pPr>
      <w:r>
        <w:rPr>
          <w:rFonts w:ascii="Arial" w:cs="Arial" w:eastAsia="Arial" w:hAnsi="Arial"/>
          <w:color w:val="333333"/>
          <w:sz w:val="20"/>
          <w:szCs w:val="20"/>
        </w:rPr>
        <w:t xml:space="preserve">A two-panel layout. The left panel shows the derivation tree in a collapsible hierarchy: Estimand → Analysis Model → ADaM Variables → SDTM Domains/Variables → CRF Forms/Fields. The right panel shows the detail view for whichever node is selected.</w:t>
      </w:r>
    </w:p>
    <w:p>
      <w:pPr>
        <w:spacing w:before="160" w:after="60"/>
      </w:pPr>
      <w:r>
        <w:rPr>
          <w:rFonts w:ascii="Arial" w:cs="Arial" w:eastAsia="Arial" w:hAnsi="Arial"/>
          <w:b/>
          <w:bCs/>
          <w:i/>
          <w:iCs/>
          <w:color w:val="2E6B9E"/>
          <w:sz w:val="20"/>
          <w:szCs w:val="20"/>
        </w:rPr>
        <w:t xml:space="preserve">Tree Structure</w:t>
      </w:r>
    </w:p>
    <w:p>
      <w:pPr>
        <w:spacing w:before="60" w:after="60" w:line="276"/>
      </w:pPr>
      <w:r>
        <w:rPr>
          <w:rFonts w:ascii="Arial" w:cs="Arial" w:eastAsia="Arial" w:hAnsi="Arial"/>
          <w:b/>
          <w:bCs/>
          <w:color w:val="333333"/>
          <w:sz w:val="20"/>
          <w:szCs w:val="20"/>
        </w:rPr>
        <w:t xml:space="preserve">Top level: Estimands. </w:t>
      </w:r>
      <w:r>
        <w:rPr>
          <w:rFonts w:ascii="Arial" w:cs="Arial" w:eastAsia="Arial" w:hAnsi="Arial"/>
          <w:color w:val="333333"/>
          <w:sz w:val="20"/>
          <w:szCs w:val="20"/>
        </w:rPr>
        <w:t xml:space="preserve">Each estimand is shown with its treatment, population, endpoint, intercurrent event strategy, and summary measure. Color-coded by type: primary (navy), key secondary (blue), secondary (gray).</w:t>
      </w:r>
    </w:p>
    <w:p>
      <w:pPr>
        <w:spacing w:before="60" w:after="60" w:line="276"/>
      </w:pPr>
      <w:r>
        <w:rPr>
          <w:rFonts w:ascii="Arial" w:cs="Arial" w:eastAsia="Arial" w:hAnsi="Arial"/>
          <w:b/>
          <w:bCs/>
          <w:color w:val="333333"/>
          <w:sz w:val="20"/>
          <w:szCs w:val="20"/>
        </w:rPr>
        <w:t xml:space="preserve">Second level: Analysis models. </w:t>
      </w:r>
      <w:r>
        <w:rPr>
          <w:rFonts w:ascii="Arial" w:cs="Arial" w:eastAsia="Arial" w:hAnsi="Arial"/>
          <w:color w:val="333333"/>
          <w:sz w:val="20"/>
          <w:szCs w:val="20"/>
        </w:rPr>
        <w:t xml:space="preserve">Each model node shows the statistical method, key covariates, and the ADaM dataset it operates on.</w:t>
      </w:r>
    </w:p>
    <w:p>
      <w:pPr>
        <w:spacing w:before="60" w:after="60" w:line="276"/>
      </w:pPr>
      <w:r>
        <w:rPr>
          <w:rFonts w:ascii="Arial" w:cs="Arial" w:eastAsia="Arial" w:hAnsi="Arial"/>
          <w:b/>
          <w:bCs/>
          <w:color w:val="333333"/>
          <w:sz w:val="20"/>
          <w:szCs w:val="20"/>
        </w:rPr>
        <w:t xml:space="preserve">Third level: ADaM variables. </w:t>
      </w:r>
      <w:r>
        <w:rPr>
          <w:rFonts w:ascii="Arial" w:cs="Arial" w:eastAsia="Arial" w:hAnsi="Arial"/>
          <w:color w:val="333333"/>
          <w:sz w:val="20"/>
          <w:szCs w:val="20"/>
        </w:rPr>
        <w:t xml:space="preserve">Derived variables with their derivation logic summarized. Each variable links downward to its SDTM source variables.</w:t>
      </w:r>
    </w:p>
    <w:p>
      <w:pPr>
        <w:spacing w:before="60" w:after="60" w:line="276"/>
      </w:pPr>
      <w:r>
        <w:rPr>
          <w:rFonts w:ascii="Arial" w:cs="Arial" w:eastAsia="Arial" w:hAnsi="Arial"/>
          <w:b/>
          <w:bCs/>
          <w:color w:val="333333"/>
          <w:sz w:val="20"/>
          <w:szCs w:val="20"/>
        </w:rPr>
        <w:t xml:space="preserve">Fourth level: SDTM domains and variables. </w:t>
      </w:r>
      <w:r>
        <w:rPr>
          <w:rFonts w:ascii="Arial" w:cs="Arial" w:eastAsia="Arial" w:hAnsi="Arial"/>
          <w:color w:val="333333"/>
          <w:sz w:val="20"/>
          <w:szCs w:val="20"/>
        </w:rPr>
        <w:t xml:space="preserve">Source data domains with the specific variables that feed the derivation. Each links downward to CRF forms/fields.</w:t>
      </w:r>
    </w:p>
    <w:p>
      <w:pPr>
        <w:spacing w:before="60" w:after="60" w:line="276"/>
      </w:pPr>
      <w:r>
        <w:rPr>
          <w:rFonts w:ascii="Arial" w:cs="Arial" w:eastAsia="Arial" w:hAnsi="Arial"/>
          <w:b/>
          <w:bCs/>
          <w:color w:val="333333"/>
          <w:sz w:val="20"/>
          <w:szCs w:val="20"/>
        </w:rPr>
        <w:t xml:space="preserve">Leaf level: CRF forms and fields. </w:t>
      </w:r>
      <w:r>
        <w:rPr>
          <w:rFonts w:ascii="Arial" w:cs="Arial" w:eastAsia="Arial" w:hAnsi="Arial"/>
          <w:color w:val="333333"/>
          <w:sz w:val="20"/>
          <w:szCs w:val="20"/>
        </w:rPr>
        <w:t xml:space="preserve">Individual data collection fields with their tier classification badge (Tier 1 / Tier 2 / Tier 3) displayed prominently.</w:t>
      </w:r>
    </w:p>
    <w:p>
      <w:pPr>
        <w:spacing w:before="160" w:after="60"/>
      </w:pPr>
      <w:r>
        <w:rPr>
          <w:rFonts w:ascii="Arial" w:cs="Arial" w:eastAsia="Arial" w:hAnsi="Arial"/>
          <w:b/>
          <w:bCs/>
          <w:i/>
          <w:iCs/>
          <w:color w:val="2E6B9E"/>
          <w:sz w:val="20"/>
          <w:szCs w:val="20"/>
        </w:rPr>
        <w:t xml:space="preserve">Confidence Indicators</w:t>
      </w:r>
    </w:p>
    <w:p>
      <w:pPr>
        <w:spacing w:before="60" w:after="60" w:line="276"/>
      </w:pPr>
      <w:r>
        <w:rPr>
          <w:rFonts w:ascii="Arial" w:cs="Arial" w:eastAsia="Arial" w:hAnsi="Arial"/>
          <w:color w:val="333333"/>
          <w:sz w:val="20"/>
          <w:szCs w:val="20"/>
        </w:rPr>
        <w:t xml:space="preserve">Each derivation chain link is annotated with a confidence indicator. Direct dependencies (the SAP explicitly names this relationship) show a solid connection line. Inferred dependencies (the LLM reasoned this relationship from context) show a dashed connection line with an amber flag. This visual distinction immediately directs the reviewer’s attention to the chains most likely to need correction.</w:t>
      </w:r>
    </w:p>
    <w:p>
      <w:pPr>
        <w:spacing w:before="160" w:after="60"/>
      </w:pPr>
      <w:r>
        <w:rPr>
          <w:rFonts w:ascii="Arial" w:cs="Arial" w:eastAsia="Arial" w:hAnsi="Arial"/>
          <w:b/>
          <w:bCs/>
          <w:i/>
          <w:iCs/>
          <w:color w:val="2E6B9E"/>
          <w:sz w:val="20"/>
          <w:szCs w:val="20"/>
        </w:rPr>
        <w:t xml:space="preserve">Validation Actions</w:t>
      </w:r>
    </w:p>
    <w:p>
      <w:pPr>
        <w:spacing w:before="60" w:after="60" w:line="276"/>
      </w:pPr>
      <w:r>
        <w:rPr>
          <w:rFonts w:ascii="Arial" w:cs="Arial" w:eastAsia="Arial" w:hAnsi="Arial"/>
          <w:color w:val="333333"/>
          <w:sz w:val="20"/>
          <w:szCs w:val="20"/>
        </w:rPr>
        <w:t xml:space="preserve">At every node in the tree, the reviewer can: Confirm (marks the node and its children as validated, shown with a green check), Edit (opens an inline editor to modify the tier classification, add or remove dependencies, correct the derivation logic), Flag (marks a node for discussion with another reviewer, with a comment field), and Add Missing (inserts a new node — a missing SDTM variable, a missing CRF field — that the LLM omitted). The tree tracks validation progress: a progress bar at the top shows what percentage of Tier 1 chains have been confirmed or edited.</w:t>
      </w:r>
    </w:p>
    <w:p>
      <w:pPr>
        <w:spacing w:before="320" w:after="120"/>
      </w:pPr>
      <w:r>
        <w:rPr>
          <w:rFonts w:ascii="Arial" w:cs="Arial" w:eastAsia="Arial" w:hAnsi="Arial"/>
          <w:b/>
          <w:bCs/>
          <w:color w:val="2E6B9E"/>
          <w:sz w:val="24"/>
          <w:szCs w:val="24"/>
        </w:rPr>
        <w:t xml:space="preserve">Screen 0.3: Tier Classification Table</w:t>
      </w:r>
    </w:p>
    <w:p>
      <w:pPr>
        <w:spacing w:before="160" w:after="60"/>
      </w:pPr>
      <w:r>
        <w:rPr>
          <w:rFonts w:ascii="Arial" w:cs="Arial" w:eastAsia="Arial" w:hAnsi="Arial"/>
          <w:b/>
          <w:bCs/>
          <w:i/>
          <w:iCs/>
          <w:color w:val="2E6B9E"/>
          <w:sz w:val="20"/>
          <w:szCs w:val="20"/>
        </w:rPr>
        <w:t xml:space="preserve">Purpose</w:t>
      </w:r>
    </w:p>
    <w:p>
      <w:pPr>
        <w:spacing w:before="60" w:after="60" w:line="276"/>
      </w:pPr>
      <w:r>
        <w:rPr>
          <w:rFonts w:ascii="Arial" w:cs="Arial" w:eastAsia="Arial" w:hAnsi="Arial"/>
          <w:color w:val="333333"/>
          <w:sz w:val="20"/>
          <w:szCs w:val="20"/>
        </w:rPr>
        <w:t xml:space="preserve">A flat, sortable, filterable table view of all CRF fields and their tier assignments. Complementary to the tree view — some reviewers prefer a tabular view for systematic walkthrough.</w:t>
      </w:r>
    </w:p>
    <w:p>
      <w:pPr>
        <w:spacing w:before="160" w:after="60"/>
      </w:pPr>
      <w:r>
        <w:rPr>
          <w:rFonts w:ascii="Arial" w:cs="Arial" w:eastAsia="Arial" w:hAnsi="Arial"/>
          <w:b/>
          <w:bCs/>
          <w:i/>
          <w:iCs/>
          <w:color w:val="2E6B9E"/>
          <w:sz w:val="20"/>
          <w:szCs w:val="20"/>
        </w:rPr>
        <w:t xml:space="preserve">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7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Content</w:t>
            </w:r>
          </w:p>
        </w:tc>
      </w:tr>
      <w:tr>
        <w:tc>
          <w:tcPr>
            <w:tcW w:type="dxa" w:w="220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pPr>
              <w:spacing w:line="252"/>
            </w:pPr>
            <w:r>
              <w:rPr>
                <w:rFonts w:ascii="Arial" w:cs="Arial" w:eastAsia="Arial" w:hAnsi="Arial"/>
                <w:b/>
                <w:bCs/>
                <w:color w:val="1B3A5C"/>
                <w:sz w:val="18"/>
                <w:szCs w:val="18"/>
              </w:rPr>
              <w:t xml:space="preserve">CRF Form</w:t>
            </w:r>
          </w:p>
        </w:tc>
        <w:tc>
          <w:tcPr>
            <w:tcW w:type="dxa" w:w="716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pPr>
              <w:spacing w:line="252"/>
            </w:pPr>
            <w:r>
              <w:rPr>
                <w:rFonts w:ascii="Arial" w:cs="Arial" w:eastAsia="Arial" w:hAnsi="Arial"/>
                <w:color w:val="333333"/>
                <w:sz w:val="18"/>
                <w:szCs w:val="18"/>
              </w:rPr>
              <w:t xml:space="preserve">Form name from the CRF (e.g., Tumor Assessment, Adverse Events, Demographics)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52"/>
            </w:pPr>
            <w:r>
              <w:rPr>
                <w:rFonts w:ascii="Arial" w:cs="Arial" w:eastAsia="Arial" w:hAnsi="Arial"/>
                <w:b/>
                <w:bCs/>
                <w:color w:val="1B3A5C"/>
                <w:sz w:val="18"/>
                <w:szCs w:val="18"/>
              </w:rPr>
              <w:t xml:space="preserve">Field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52"/>
            </w:pPr>
            <w:r>
              <w:rPr>
                <w:rFonts w:ascii="Arial" w:cs="Arial" w:eastAsia="Arial" w:hAnsi="Arial"/>
                <w:color w:val="333333"/>
                <w:sz w:val="18"/>
                <w:szCs w:val="18"/>
              </w:rPr>
              <w:t xml:space="preserve">Specific field within the form (e.g., RECIST Response, AE Onset Date, Date of Birth)</w:t>
            </w:r>
          </w:p>
        </w:tc>
      </w:tr>
      <w:tr>
        <w:tc>
          <w:tcPr>
            <w:tcW w:type="dxa" w:w="220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pPr>
              <w:spacing w:line="252"/>
            </w:pPr>
            <w:r>
              <w:rPr>
                <w:rFonts w:ascii="Arial" w:cs="Arial" w:eastAsia="Arial" w:hAnsi="Arial"/>
                <w:b/>
                <w:bCs/>
                <w:color w:val="1B3A5C"/>
                <w:sz w:val="18"/>
                <w:szCs w:val="18"/>
              </w:rPr>
              <w:t xml:space="preserve">SDTM Mapping</w:t>
            </w:r>
          </w:p>
        </w:tc>
        <w:tc>
          <w:tcPr>
            <w:tcW w:type="dxa" w:w="716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pPr>
              <w:spacing w:line="252"/>
            </w:pPr>
            <w:r>
              <w:rPr>
                <w:rFonts w:ascii="Arial" w:cs="Arial" w:eastAsia="Arial" w:hAnsi="Arial"/>
                <w:color w:val="333333"/>
                <w:sz w:val="18"/>
                <w:szCs w:val="18"/>
              </w:rPr>
              <w:t xml:space="preserve">Target SDTM domain.variable (e.g., RS.RSSTRESC, AE.AESTDTC, DM.BRTHDTC). Editable inline.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52"/>
            </w:pPr>
            <w:r>
              <w:rPr>
                <w:rFonts w:ascii="Arial" w:cs="Arial" w:eastAsia="Arial" w:hAnsi="Arial"/>
                <w:b/>
                <w:bCs/>
                <w:color w:val="1B3A5C"/>
                <w:sz w:val="18"/>
                <w:szCs w:val="18"/>
              </w:rPr>
              <w:t xml:space="preserve">Tier</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52"/>
            </w:pPr>
            <w:r>
              <w:rPr>
                <w:rFonts w:ascii="Arial" w:cs="Arial" w:eastAsia="Arial" w:hAnsi="Arial"/>
                <w:color w:val="333333"/>
                <w:sz w:val="18"/>
                <w:szCs w:val="18"/>
              </w:rPr>
              <w:t xml:space="preserve">Tier 1 / Tier 2 / Tier 3 badge. Editable via dropdown. Changes are logged.</w:t>
            </w:r>
          </w:p>
        </w:tc>
      </w:tr>
      <w:tr>
        <w:tc>
          <w:tcPr>
            <w:tcW w:type="dxa" w:w="220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pPr>
              <w:spacing w:line="252"/>
            </w:pPr>
            <w:r>
              <w:rPr>
                <w:rFonts w:ascii="Arial" w:cs="Arial" w:eastAsia="Arial" w:hAnsi="Arial"/>
                <w:b/>
                <w:bCs/>
                <w:color w:val="1B3A5C"/>
                <w:sz w:val="18"/>
                <w:szCs w:val="18"/>
              </w:rPr>
              <w:t xml:space="preserve">Dependency Chain</w:t>
            </w:r>
          </w:p>
        </w:tc>
        <w:tc>
          <w:tcPr>
            <w:tcW w:type="dxa" w:w="716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pPr>
              <w:spacing w:line="252"/>
            </w:pPr>
            <w:r>
              <w:rPr>
                <w:rFonts w:ascii="Arial" w:cs="Arial" w:eastAsia="Arial" w:hAnsi="Arial"/>
                <w:color w:val="333333"/>
                <w:sz w:val="18"/>
                <w:szCs w:val="18"/>
              </w:rPr>
              <w:t xml:space="preserve">Compact summary: which estimand(s) this field traces to. Click to navigate to the full chain in the tree view.</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52"/>
            </w:pPr>
            <w:r>
              <w:rPr>
                <w:rFonts w:ascii="Arial" w:cs="Arial" w:eastAsia="Arial" w:hAnsi="Arial"/>
                <w:b/>
                <w:bCs/>
                <w:color w:val="1B3A5C"/>
                <w:sz w:val="18"/>
                <w:szCs w:val="18"/>
              </w:rPr>
              <w:t xml:space="preserve">Confidence</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52"/>
            </w:pPr>
            <w:r>
              <w:rPr>
                <w:rFonts w:ascii="Arial" w:cs="Arial" w:eastAsia="Arial" w:hAnsi="Arial"/>
                <w:color w:val="333333"/>
                <w:sz w:val="18"/>
                <w:szCs w:val="18"/>
              </w:rPr>
              <w:t xml:space="preserve">Direct / Inferred indicator. Filterable so the reviewer can focus on low-confidence mappings.</w:t>
            </w:r>
          </w:p>
        </w:tc>
      </w:tr>
      <w:tr>
        <w:tc>
          <w:tcPr>
            <w:tcW w:type="dxa" w:w="220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pPr>
              <w:spacing w:line="252"/>
            </w:pPr>
            <w:r>
              <w:rPr>
                <w:rFonts w:ascii="Arial" w:cs="Arial" w:eastAsia="Arial" w:hAnsi="Arial"/>
                <w:b/>
                <w:bCs/>
                <w:color w:val="1B3A5C"/>
                <w:sz w:val="18"/>
                <w:szCs w:val="18"/>
              </w:rPr>
              <w:t xml:space="preserve">Validation Status</w:t>
            </w:r>
          </w:p>
        </w:tc>
        <w:tc>
          <w:tcPr>
            <w:tcW w:type="dxa" w:w="716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pPr>
              <w:spacing w:line="252"/>
            </w:pPr>
            <w:r>
              <w:rPr>
                <w:rFonts w:ascii="Arial" w:cs="Arial" w:eastAsia="Arial" w:hAnsi="Arial"/>
                <w:color w:val="333333"/>
                <w:sz w:val="18"/>
                <w:szCs w:val="18"/>
              </w:rPr>
              <w:t xml:space="preserve">Unreviewed / Confirmed / Edited / Flagged. Filterable.</w:t>
            </w:r>
          </w:p>
        </w:tc>
      </w:tr>
    </w:tbl>
    <w:p>
      <w:pPr>
        <w:spacing w:before="160" w:after="60"/>
      </w:pPr>
      <w:r>
        <w:rPr>
          <w:rFonts w:ascii="Arial" w:cs="Arial" w:eastAsia="Arial" w:hAnsi="Arial"/>
          <w:b/>
          <w:bCs/>
          <w:i/>
          <w:iCs/>
          <w:color w:val="2E6B9E"/>
          <w:sz w:val="20"/>
          <w:szCs w:val="20"/>
        </w:rPr>
        <w:t xml:space="preserve">Key Interaction</w:t>
      </w:r>
    </w:p>
    <w:p>
      <w:pPr>
        <w:spacing w:before="60" w:after="60" w:line="276"/>
      </w:pPr>
      <w:r>
        <w:rPr>
          <w:rFonts w:ascii="Arial" w:cs="Arial" w:eastAsia="Arial" w:hAnsi="Arial"/>
          <w:color w:val="333333"/>
          <w:sz w:val="20"/>
          <w:szCs w:val="20"/>
        </w:rPr>
        <w:t xml:space="preserve">Bulk edit: the reviewer can select multiple rows (e.g., all fields on the Adverse Event form) and change their tier classification simultaneously. This is critical for efficiency when the LLM has miscategorized an entire form.</w:t>
      </w:r>
    </w:p>
    <w:p>
      <w:pPr>
        <w:spacing w:before="320" w:after="120"/>
      </w:pPr>
      <w:r>
        <w:rPr>
          <w:rFonts w:ascii="Arial" w:cs="Arial" w:eastAsia="Arial" w:hAnsi="Arial"/>
          <w:b/>
          <w:bCs/>
          <w:color w:val="2E6B9E"/>
          <w:sz w:val="24"/>
          <w:szCs w:val="24"/>
        </w:rPr>
        <w:t xml:space="preserve">Screen 0.4: RBQM Governance Editor</w:t>
      </w:r>
    </w:p>
    <w:p>
      <w:pPr>
        <w:spacing w:before="160" w:after="60"/>
      </w:pPr>
      <w:r>
        <w:rPr>
          <w:rFonts w:ascii="Arial" w:cs="Arial" w:eastAsia="Arial" w:hAnsi="Arial"/>
          <w:b/>
          <w:bCs/>
          <w:i/>
          <w:iCs/>
          <w:color w:val="2E6B9E"/>
          <w:sz w:val="20"/>
          <w:szCs w:val="20"/>
        </w:rPr>
        <w:t xml:space="preserve">Purpose</w:t>
      </w:r>
    </w:p>
    <w:p>
      <w:pPr>
        <w:spacing w:before="60" w:after="60" w:line="276"/>
      </w:pPr>
      <w:r>
        <w:rPr>
          <w:rFonts w:ascii="Arial" w:cs="Arial" w:eastAsia="Arial" w:hAnsi="Arial"/>
          <w:color w:val="333333"/>
          <w:sz w:val="20"/>
          <w:szCs w:val="20"/>
        </w:rPr>
        <w:t xml:space="preserve">Review and edit the draft RBQM governance package: CtQ factors, KRI definitions, and QTL structures.</w:t>
      </w:r>
    </w:p>
    <w:p>
      <w:pPr>
        <w:spacing w:before="160" w:after="60"/>
      </w:pPr>
      <w:r>
        <w:rPr>
          <w:rFonts w:ascii="Arial" w:cs="Arial" w:eastAsia="Arial" w:hAnsi="Arial"/>
          <w:b/>
          <w:bCs/>
          <w:i/>
          <w:iCs/>
          <w:color w:val="2E6B9E"/>
          <w:sz w:val="20"/>
          <w:szCs w:val="20"/>
        </w:rPr>
        <w:t xml:space="preserve">Layout</w:t>
      </w:r>
    </w:p>
    <w:p>
      <w:pPr>
        <w:spacing w:before="60" w:after="60" w:line="276"/>
      </w:pPr>
      <w:r>
        <w:rPr>
          <w:rFonts w:ascii="Arial" w:cs="Arial" w:eastAsia="Arial" w:hAnsi="Arial"/>
          <w:color w:val="333333"/>
          <w:sz w:val="20"/>
          <w:szCs w:val="20"/>
        </w:rPr>
        <w:t xml:space="preserve">A card-based layout where each CtQ factor is a card containing: the CtQ factor description, the Tier 1 data elements it derives from (clickable links to the derivation tree), proposed KRI definition and formula, QTL threshold structure (editable — the LLM proposes the structure but the user sets the numeric thresholds), and approval status. The user can add new CtQ/KRI combinations, remove irrelevant ones, and adjust threshold values. Each change is logged.</w:t>
      </w:r>
    </w:p>
    <w:p>
      <w:pPr>
        <w:spacing w:before="320" w:after="120"/>
      </w:pPr>
      <w:r>
        <w:rPr>
          <w:rFonts w:ascii="Arial" w:cs="Arial" w:eastAsia="Arial" w:hAnsi="Arial"/>
          <w:b/>
          <w:bCs/>
          <w:color w:val="2E6B9E"/>
          <w:sz w:val="24"/>
          <w:szCs w:val="24"/>
        </w:rPr>
        <w:t xml:space="preserve">Screen 0.5: Approval Workflow</w:t>
      </w:r>
    </w:p>
    <w:p>
      <w:pPr>
        <w:spacing w:before="160" w:after="60"/>
      </w:pPr>
      <w:r>
        <w:rPr>
          <w:rFonts w:ascii="Arial" w:cs="Arial" w:eastAsia="Arial" w:hAnsi="Arial"/>
          <w:b/>
          <w:bCs/>
          <w:i/>
          <w:iCs/>
          <w:color w:val="2E6B9E"/>
          <w:sz w:val="20"/>
          <w:szCs w:val="20"/>
        </w:rPr>
        <w:t xml:space="preserve">Purpose</w:t>
      </w:r>
    </w:p>
    <w:p>
      <w:pPr>
        <w:spacing w:before="60" w:after="60" w:line="276"/>
      </w:pPr>
      <w:r>
        <w:rPr>
          <w:rFonts w:ascii="Arial" w:cs="Arial" w:eastAsia="Arial" w:hAnsi="Arial"/>
          <w:color w:val="333333"/>
          <w:sz w:val="20"/>
          <w:szCs w:val="20"/>
        </w:rPr>
        <w:t xml:space="preserve">Formal approval gate before the criticality model becomes operational.</w:t>
      </w:r>
    </w:p>
    <w:p>
      <w:pPr>
        <w:spacing w:before="160" w:after="60"/>
      </w:pPr>
      <w:r>
        <w:rPr>
          <w:rFonts w:ascii="Arial" w:cs="Arial" w:eastAsia="Arial" w:hAnsi="Arial"/>
          <w:b/>
          <w:bCs/>
          <w:i/>
          <w:iCs/>
          <w:color w:val="2E6B9E"/>
          <w:sz w:val="20"/>
          <w:szCs w:val="20"/>
        </w:rPr>
        <w:t xml:space="preserve">Layout</w:t>
      </w:r>
    </w:p>
    <w:p>
      <w:pPr>
        <w:spacing w:before="60" w:after="60" w:line="276"/>
      </w:pPr>
      <w:r>
        <w:rPr>
          <w:rFonts w:ascii="Arial" w:cs="Arial" w:eastAsia="Arial" w:hAnsi="Arial"/>
          <w:color w:val="333333"/>
          <w:sz w:val="20"/>
          <w:szCs w:val="20"/>
        </w:rPr>
        <w:t xml:space="preserve">A summary dashboard showing overall validation progress: percentage of Tier 1 chains confirmed, number of open flags, number of edits made. Below, a sequential approval panel: Statistician Review (can approve or return for revisions, with required comment on what was reviewed), Medical Monitor Review (parallel or sequential, depending on study team preference), and Study Manager Final Approval (activates the model for operational use). Each approval is timestamped, attributed, and version-locked. Once approved, the model is immutable; future changes trigger a new version through the amendment workflow.</w:t>
      </w:r>
    </w:p>
    <w:p>
      <w:pPr>
        <w:pBdr>
          <w:bottom w:val="single" w:color="1B3A5C" w:sz="6" w:space="4"/>
        </w:pBdr>
        <w:spacing w:before="400" w:after="160"/>
      </w:pPr>
      <w:r>
        <w:rPr>
          <w:rFonts w:ascii="Arial" w:cs="Arial" w:eastAsia="Arial" w:hAnsi="Arial"/>
          <w:b/>
          <w:bCs/>
          <w:color w:val="1B3A5C"/>
          <w:sz w:val="28"/>
          <w:szCs w:val="28"/>
        </w:rPr>
        <w:t xml:space="preserve">Feature 1: Signal Detection Dashboard</w:t>
      </w:r>
    </w:p>
    <w:p>
      <w:pPr>
        <w:pBdr>
          <w:top w:val="single" w:color="2E6B9E" w:sz="1" w:space="1"/>
          <w:bottom w:val="single" w:color="2E6B9E" w:sz="1" w:space="1"/>
        </w:pBdr>
        <w:shd w:fill="E8F0F8" w:val="clear"/>
        <w:spacing w:before="160" w:after="160"/>
        <w:ind w:left="200" w:right="200"/>
      </w:pPr>
      <w:r>
        <w:rPr>
          <w:rFonts w:ascii="Arial" w:cs="Arial" w:eastAsia="Arial" w:hAnsi="Arial"/>
          <w:i/>
          <w:iCs/>
          <w:color w:val="1B3A5C"/>
          <w:sz w:val="19"/>
          <w:szCs w:val="19"/>
        </w:rPr>
        <w:t xml:space="preserve">Primary users: CRA, Clinical Team Lead, Data Manager. The operational heartbeat of the platform. Accessed daily.</w:t>
      </w:r>
    </w:p>
    <w:p>
      <w:pPr>
        <w:spacing w:before="320" w:after="120"/>
      </w:pPr>
      <w:r>
        <w:rPr>
          <w:rFonts w:ascii="Arial" w:cs="Arial" w:eastAsia="Arial" w:hAnsi="Arial"/>
          <w:b/>
          <w:bCs/>
          <w:color w:val="2E6B9E"/>
          <w:sz w:val="24"/>
          <w:szCs w:val="24"/>
        </w:rPr>
        <w:t xml:space="preserve">Screen 1.1: Signal Dashboard — Study Overview</w:t>
      </w:r>
    </w:p>
    <w:p>
      <w:pPr>
        <w:spacing w:before="160" w:after="60"/>
      </w:pPr>
      <w:r>
        <w:rPr>
          <w:rFonts w:ascii="Arial" w:cs="Arial" w:eastAsia="Arial" w:hAnsi="Arial"/>
          <w:b/>
          <w:bCs/>
          <w:i/>
          <w:iCs/>
          <w:color w:val="2E6B9E"/>
          <w:sz w:val="20"/>
          <w:szCs w:val="20"/>
        </w:rPr>
        <w:t xml:space="preserve">Purpose</w:t>
      </w:r>
    </w:p>
    <w:p>
      <w:pPr>
        <w:spacing w:before="60" w:after="60" w:line="276"/>
      </w:pPr>
      <w:r>
        <w:rPr>
          <w:rFonts w:ascii="Arial" w:cs="Arial" w:eastAsia="Arial" w:hAnsi="Arial"/>
          <w:color w:val="333333"/>
          <w:sz w:val="20"/>
          <w:szCs w:val="20"/>
        </w:rPr>
        <w:t xml:space="preserve">The landing screen for operational users. A study-wide view of all active signals across all sites, designed for rapid triage and site prioritization.</w:t>
      </w:r>
    </w:p>
    <w:p>
      <w:pPr>
        <w:spacing w:before="160" w:after="60"/>
      </w:pPr>
      <w:r>
        <w:rPr>
          <w:rFonts w:ascii="Arial" w:cs="Arial" w:eastAsia="Arial" w:hAnsi="Arial"/>
          <w:b/>
          <w:bCs/>
          <w:i/>
          <w:iCs/>
          <w:color w:val="2E6B9E"/>
          <w:sz w:val="20"/>
          <w:szCs w:val="20"/>
        </w:rPr>
        <w:t xml:space="preserve">Layout: Top Summary Bar</w:t>
      </w:r>
    </w:p>
    <w:p>
      <w:pPr>
        <w:spacing w:before="60" w:after="60" w:line="276"/>
      </w:pPr>
      <w:r>
        <w:rPr>
          <w:rFonts w:ascii="Arial" w:cs="Arial" w:eastAsia="Arial" w:hAnsi="Arial"/>
          <w:color w:val="333333"/>
          <w:sz w:val="20"/>
          <w:szCs w:val="20"/>
        </w:rPr>
        <w:t xml:space="preserve">Four metric cards spanning the full width, each showing: Total Active Signals (broken down by priority: P1 / P2 / P3 with color coding), Sites Requiring Attention (count of sites with at least one P1 signal), Safety Signals Pending Review (count of signals routed to mandatory human review, with a red accent if any are pending), and Data Currency (most recent export date across sources, with amber/red warning if any source is stale).</w:t>
      </w:r>
    </w:p>
    <w:p>
      <w:pPr>
        <w:spacing w:before="160" w:after="60"/>
      </w:pPr>
      <w:r>
        <w:rPr>
          <w:rFonts w:ascii="Arial" w:cs="Arial" w:eastAsia="Arial" w:hAnsi="Arial"/>
          <w:b/>
          <w:bCs/>
          <w:i/>
          <w:iCs/>
          <w:color w:val="2E6B9E"/>
          <w:sz w:val="20"/>
          <w:szCs w:val="20"/>
        </w:rPr>
        <w:t xml:space="preserve">Layout: Signal Map</w:t>
      </w:r>
    </w:p>
    <w:p>
      <w:pPr>
        <w:spacing w:before="60" w:after="60" w:line="276"/>
      </w:pPr>
      <w:r>
        <w:rPr>
          <w:rFonts w:ascii="Arial" w:cs="Arial" w:eastAsia="Arial" w:hAnsi="Arial"/>
          <w:color w:val="333333"/>
          <w:sz w:val="20"/>
          <w:szCs w:val="20"/>
        </w:rPr>
        <w:t xml:space="preserve">Below the summary bar, a site-level heat map grid. Each site is represented as a tile showing: site number, total signal count, highest priority signal badge, a mini sparkline of signal trend across recent cycles (improving / stable / deteriorating). Tiles are sorted by urgency: sites with P1 signals first, then by signal count. Clicking a tile navigates to the site-specific signal view.</w:t>
      </w:r>
    </w:p>
    <w:p>
      <w:pPr>
        <w:spacing w:before="160" w:after="60"/>
      </w:pPr>
      <w:r>
        <w:rPr>
          <w:rFonts w:ascii="Arial" w:cs="Arial" w:eastAsia="Arial" w:hAnsi="Arial"/>
          <w:b/>
          <w:bCs/>
          <w:i/>
          <w:iCs/>
          <w:color w:val="2E6B9E"/>
          <w:sz w:val="20"/>
          <w:szCs w:val="20"/>
        </w:rPr>
        <w:t xml:space="preserve">Layout: Signal Feed</w:t>
      </w:r>
    </w:p>
    <w:p>
      <w:pPr>
        <w:spacing w:before="60" w:after="60" w:line="276"/>
      </w:pPr>
      <w:r>
        <w:rPr>
          <w:rFonts w:ascii="Arial" w:cs="Arial" w:eastAsia="Arial" w:hAnsi="Arial"/>
          <w:color w:val="333333"/>
          <w:sz w:val="20"/>
          <w:szCs w:val="20"/>
        </w:rPr>
        <w:t xml:space="preserve">Below the site map, a chronological feed of the most recent signals detected in the latest processing cycle. Each signal appears as a compact card (see Signal Card specification below). The feed can be filtered by: priority level, criticality tier, signal type (completeness, window, reconciliation, unstructured, pattern), site, subject, and cycle status (new, continuing, escalated).</w:t>
      </w:r>
    </w:p>
    <w:p>
      <w:pPr>
        <w:spacing w:before="320" w:after="120"/>
      </w:pPr>
      <w:r>
        <w:rPr>
          <w:rFonts w:ascii="Arial" w:cs="Arial" w:eastAsia="Arial" w:hAnsi="Arial"/>
          <w:b/>
          <w:bCs/>
          <w:color w:val="2E6B9E"/>
          <w:sz w:val="24"/>
          <w:szCs w:val="24"/>
        </w:rPr>
        <w:t xml:space="preserve">Signal Card — The Core UI Component</w:t>
      </w:r>
    </w:p>
    <w:p>
      <w:pPr>
        <w:spacing w:before="160" w:after="60"/>
      </w:pPr>
      <w:r>
        <w:rPr>
          <w:rFonts w:ascii="Arial" w:cs="Arial" w:eastAsia="Arial" w:hAnsi="Arial"/>
          <w:b/>
          <w:bCs/>
          <w:i/>
          <w:iCs/>
          <w:color w:val="2E6B9E"/>
          <w:sz w:val="20"/>
          <w:szCs w:val="20"/>
        </w:rPr>
        <w:t xml:space="preserve">Purpose</w:t>
      </w:r>
    </w:p>
    <w:p>
      <w:pPr>
        <w:spacing w:before="60" w:after="60" w:line="276"/>
      </w:pPr>
      <w:r>
        <w:rPr>
          <w:rFonts w:ascii="Arial" w:cs="Arial" w:eastAsia="Arial" w:hAnsi="Arial"/>
          <w:color w:val="333333"/>
          <w:sz w:val="20"/>
          <w:szCs w:val="20"/>
        </w:rPr>
        <w:t xml:space="preserve">The signal card is the platform’s most important UI component. It appears in the dashboard, in the dossier, in investigation results, and in the MVR CoPilot. Consistent design across all contexts builds recognition.</w:t>
      </w:r>
    </w:p>
    <w:p>
      <w:pPr>
        <w:spacing w:before="160" w:after="60"/>
      </w:pPr>
      <w:r>
        <w:rPr>
          <w:rFonts w:ascii="Arial" w:cs="Arial" w:eastAsia="Arial" w:hAnsi="Arial"/>
          <w:b/>
          <w:bCs/>
          <w:i/>
          <w:iCs/>
          <w:color w:val="2E6B9E"/>
          <w:sz w:val="20"/>
          <w:szCs w:val="20"/>
        </w:rPr>
        <w:t xml:space="preserve">Anatomy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Zone</w:t>
            </w:r>
          </w:p>
        </w:tc>
        <w:tc>
          <w:tcPr>
            <w:tcW w:type="dxa" w:w="6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Content</w:t>
            </w:r>
          </w:p>
        </w:tc>
      </w:tr>
      <w:tr>
        <w:tc>
          <w:tcPr>
            <w:tcW w:type="dxa" w:w="240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pPr>
              <w:spacing w:line="252"/>
            </w:pPr>
            <w:r>
              <w:rPr>
                <w:rFonts w:ascii="Arial" w:cs="Arial" w:eastAsia="Arial" w:hAnsi="Arial"/>
                <w:b/>
                <w:bCs/>
                <w:color w:val="1B3A5C"/>
                <w:sz w:val="18"/>
                <w:szCs w:val="18"/>
              </w:rPr>
              <w:t xml:space="preserve">Priority Badge</w:t>
            </w:r>
          </w:p>
        </w:tc>
        <w:tc>
          <w:tcPr>
            <w:tcW w:type="dxa" w:w="696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pPr>
              <w:spacing w:line="252"/>
            </w:pPr>
            <w:r>
              <w:rPr>
                <w:rFonts w:ascii="Arial" w:cs="Arial" w:eastAsia="Arial" w:hAnsi="Arial"/>
                <w:color w:val="333333"/>
                <w:sz w:val="18"/>
                <w:szCs w:val="18"/>
              </w:rPr>
              <w:t xml:space="preserve">Left edge color band: red (P1), amber (P2), gray (P3). Priority number displayed as a large, bold numeral.</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52"/>
            </w:pPr>
            <w:r>
              <w:rPr>
                <w:rFonts w:ascii="Arial" w:cs="Arial" w:eastAsia="Arial" w:hAnsi="Arial"/>
                <w:b/>
                <w:bCs/>
                <w:color w:val="1B3A5C"/>
                <w:sz w:val="18"/>
                <w:szCs w:val="18"/>
              </w:rPr>
              <w:t xml:space="preserve">Header Row</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52"/>
            </w:pPr>
            <w:r>
              <w:rPr>
                <w:rFonts w:ascii="Arial" w:cs="Arial" w:eastAsia="Arial" w:hAnsi="Arial"/>
                <w:color w:val="333333"/>
                <w:sz w:val="18"/>
                <w:szCs w:val="18"/>
              </w:rPr>
              <w:t xml:space="preserve">Signal type icon + signal title (e.g., “Missing Tumor Assessment”) + site/subject identifiers + tier badge (T1/T2/T3) + cycle status chip (NEW / CONTINUING / ESCALATED).</w:t>
            </w:r>
          </w:p>
        </w:tc>
      </w:tr>
      <w:tr>
        <w:tc>
          <w:tcPr>
            <w:tcW w:type="dxa" w:w="240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pPr>
              <w:spacing w:line="252"/>
            </w:pPr>
            <w:r>
              <w:rPr>
                <w:rFonts w:ascii="Arial" w:cs="Arial" w:eastAsia="Arial" w:hAnsi="Arial"/>
                <w:b/>
                <w:bCs/>
                <w:color w:val="1B3A5C"/>
                <w:sz w:val="18"/>
                <w:szCs w:val="18"/>
              </w:rPr>
              <w:t xml:space="preserve">Consequence Line</w:t>
            </w:r>
          </w:p>
        </w:tc>
        <w:tc>
          <w:tcPr>
            <w:tcW w:type="dxa" w:w="696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pPr>
              <w:spacing w:line="252"/>
            </w:pPr>
            <w:r>
              <w:rPr>
                <w:rFonts w:ascii="Arial" w:cs="Arial" w:eastAsia="Arial" w:hAnsi="Arial"/>
                <w:color w:val="333333"/>
                <w:sz w:val="18"/>
                <w:szCs w:val="18"/>
              </w:rPr>
              <w:t xml:space="preserve">One sentence: what this means for the trial. “Subject 042’s primary endpoint evaluability is at risk — PFS derivation requires this assessment.” Always visible, never truncated.</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52"/>
            </w:pPr>
            <w:r>
              <w:rPr>
                <w:rFonts w:ascii="Arial" w:cs="Arial" w:eastAsia="Arial" w:hAnsi="Arial"/>
                <w:b/>
                <w:bCs/>
                <w:color w:val="1B3A5C"/>
                <w:sz w:val="18"/>
                <w:szCs w:val="18"/>
              </w:rPr>
              <w:t xml:space="preserve">Urgency Indicator</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52"/>
            </w:pPr>
            <w:r>
              <w:rPr>
                <w:rFonts w:ascii="Arial" w:cs="Arial" w:eastAsia="Arial" w:hAnsi="Arial"/>
                <w:color w:val="333333"/>
                <w:sz w:val="18"/>
                <w:szCs w:val="18"/>
              </w:rPr>
              <w:t xml:space="preserve">For time-sensitive signals: a countdown display showing remaining window days. Red background if ≤3 days. Includes “Non-recoverable” label where applicable.</w:t>
            </w:r>
          </w:p>
        </w:tc>
      </w:tr>
      <w:tr>
        <w:tc>
          <w:tcPr>
            <w:tcW w:type="dxa" w:w="240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pPr>
              <w:spacing w:line="252"/>
            </w:pPr>
            <w:r>
              <w:rPr>
                <w:rFonts w:ascii="Arial" w:cs="Arial" w:eastAsia="Arial" w:hAnsi="Arial"/>
                <w:b/>
                <w:bCs/>
                <w:color w:val="1B3A5C"/>
                <w:sz w:val="18"/>
                <w:szCs w:val="18"/>
              </w:rPr>
              <w:t xml:space="preserve">Source Tags</w:t>
            </w:r>
          </w:p>
        </w:tc>
        <w:tc>
          <w:tcPr>
            <w:tcW w:type="dxa" w:w="696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pPr>
              <w:spacing w:line="252"/>
            </w:pPr>
            <w:r>
              <w:rPr>
                <w:rFonts w:ascii="Arial" w:cs="Arial" w:eastAsia="Arial" w:hAnsi="Arial"/>
                <w:color w:val="333333"/>
                <w:sz w:val="18"/>
                <w:szCs w:val="18"/>
              </w:rPr>
              <w:t xml:space="preserve">Small pills showing which systems contributed to this signal: EDC, IRT, Safety DB, Lab, Imaging, MVR, etc.</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52"/>
            </w:pPr>
            <w:r>
              <w:rPr>
                <w:rFonts w:ascii="Arial" w:cs="Arial" w:eastAsia="Arial" w:hAnsi="Arial"/>
                <w:b/>
                <w:bCs/>
                <w:color w:val="1B3A5C"/>
                <w:sz w:val="18"/>
                <w:szCs w:val="18"/>
              </w:rPr>
              <w:t xml:space="preserve">Action Bar</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52"/>
            </w:pPr>
            <w:r>
              <w:rPr>
                <w:rFonts w:ascii="Arial" w:cs="Arial" w:eastAsia="Arial" w:hAnsi="Arial"/>
                <w:color w:val="333333"/>
                <w:sz w:val="18"/>
                <w:szCs w:val="18"/>
              </w:rPr>
              <w:t xml:space="preserve">Three buttons: “Investigate” (launches Feature 2 with this signal as context), “View Evidence” (expands evidence panel), “Record Disposition” (opens disposition workflow).</w:t>
            </w:r>
          </w:p>
        </w:tc>
      </w:tr>
    </w:tbl>
    <w:p>
      <w:pPr>
        <w:spacing w:before="160" w:after="60"/>
      </w:pPr>
      <w:r>
        <w:rPr>
          <w:rFonts w:ascii="Arial" w:cs="Arial" w:eastAsia="Arial" w:hAnsi="Arial"/>
          <w:b/>
          <w:bCs/>
          <w:i/>
          <w:iCs/>
          <w:color w:val="2E6B9E"/>
          <w:sz w:val="20"/>
          <w:szCs w:val="20"/>
        </w:rPr>
        <w:t xml:space="preserve">Expanded Evidence Panel</w:t>
      </w:r>
    </w:p>
    <w:p>
      <w:pPr>
        <w:spacing w:before="60" w:after="60" w:line="276"/>
      </w:pPr>
      <w:r>
        <w:rPr>
          <w:rFonts w:ascii="Arial" w:cs="Arial" w:eastAsia="Arial" w:hAnsi="Arial"/>
          <w:color w:val="333333"/>
          <w:sz w:val="20"/>
          <w:szCs w:val="20"/>
        </w:rPr>
        <w:t xml:space="preserve">Clicking “View Evidence” expands the card to reveal: the root cause analysis narrative (for P1/P2 signals), source data excerpts from each contributing system with timestamps, the derivation chain trace (clickable link to Feature 0’s tree view), cross-signal connections if this signal is related to others, and recommended actions with specific verification steps. The expanded panel can be collapsed back to the compact view.</w:t>
      </w:r>
    </w:p>
    <w:p>
      <w:pPr>
        <w:spacing w:before="320" w:after="120"/>
      </w:pPr>
      <w:r>
        <w:rPr>
          <w:rFonts w:ascii="Arial" w:cs="Arial" w:eastAsia="Arial" w:hAnsi="Arial"/>
          <w:b/>
          <w:bCs/>
          <w:color w:val="2E6B9E"/>
          <w:sz w:val="24"/>
          <w:szCs w:val="24"/>
        </w:rPr>
        <w:t xml:space="preserve">Screen 1.2: Safety Signal Review Queue</w:t>
      </w:r>
    </w:p>
    <w:p>
      <w:pPr>
        <w:spacing w:before="160" w:after="60"/>
      </w:pPr>
      <w:r>
        <w:rPr>
          <w:rFonts w:ascii="Arial" w:cs="Arial" w:eastAsia="Arial" w:hAnsi="Arial"/>
          <w:b/>
          <w:bCs/>
          <w:i/>
          <w:iCs/>
          <w:color w:val="2E6B9E"/>
          <w:sz w:val="20"/>
          <w:szCs w:val="20"/>
        </w:rPr>
        <w:t xml:space="preserve">Purpose</w:t>
      </w:r>
    </w:p>
    <w:p>
      <w:pPr>
        <w:spacing w:before="60" w:after="60" w:line="276"/>
      </w:pPr>
      <w:r>
        <w:rPr>
          <w:rFonts w:ascii="Arial" w:cs="Arial" w:eastAsia="Arial" w:hAnsi="Arial"/>
          <w:color w:val="333333"/>
          <w:sz w:val="20"/>
          <w:szCs w:val="20"/>
        </w:rPr>
        <w:t xml:space="preserve">A dedicated queue for signals requiring mandatory human review: potential unreported SAEs, eligibility concerns, endpoint classification impacts.</w:t>
      </w:r>
    </w:p>
    <w:p>
      <w:pPr>
        <w:spacing w:before="160" w:after="60"/>
      </w:pPr>
      <w:r>
        <w:rPr>
          <w:rFonts w:ascii="Arial" w:cs="Arial" w:eastAsia="Arial" w:hAnsi="Arial"/>
          <w:b/>
          <w:bCs/>
          <w:i/>
          <w:iCs/>
          <w:color w:val="2E6B9E"/>
          <w:sz w:val="20"/>
          <w:szCs w:val="20"/>
        </w:rPr>
        <w:t xml:space="preserve">Layout</w:t>
      </w:r>
    </w:p>
    <w:p>
      <w:pPr>
        <w:spacing w:before="60" w:after="60" w:line="276"/>
      </w:pPr>
      <w:r>
        <w:rPr>
          <w:rFonts w:ascii="Arial" w:cs="Arial" w:eastAsia="Arial" w:hAnsi="Arial"/>
          <w:color w:val="333333"/>
          <w:sz w:val="20"/>
          <w:szCs w:val="20"/>
        </w:rPr>
        <w:t xml:space="preserve">A focused, distraction-free list of pending safety signals. Each signal shows the full evidence panel by default (no expansion needed). Below each signal, a review action panel with three options: Confirm as Valid Signal (routes to appropriate follow-up workflow), Mark as Requires Verification (adds to the dossier with “pending verification” status), and Dismiss with Rationale (requires a written justification that is logged and auditable). A running counter shows: X of Y safety signals reviewed this cycle. This queue appears with a red badge on the sidebar whenever items are pending.</w:t>
      </w:r>
    </w:p>
    <w:p>
      <w:pPr>
        <w:pBdr>
          <w:bottom w:val="single" w:color="1B3A5C" w:sz="6" w:space="4"/>
        </w:pBdr>
        <w:spacing w:before="400" w:after="160"/>
      </w:pPr>
      <w:r>
        <w:rPr>
          <w:rFonts w:ascii="Arial" w:cs="Arial" w:eastAsia="Arial" w:hAnsi="Arial"/>
          <w:b/>
          <w:bCs/>
          <w:color w:val="1B3A5C"/>
          <w:sz w:val="28"/>
          <w:szCs w:val="28"/>
        </w:rPr>
        <w:t xml:space="preserve">Feature 2: Root Cause Investigation Interface</w:t>
      </w:r>
    </w:p>
    <w:p>
      <w:pPr>
        <w:pBdr>
          <w:top w:val="single" w:color="2E6B9E" w:sz="1" w:space="1"/>
          <w:bottom w:val="single" w:color="2E6B9E" w:sz="1" w:space="1"/>
        </w:pBdr>
        <w:shd w:fill="E8F0F8" w:val="clear"/>
        <w:spacing w:before="160" w:after="160"/>
        <w:ind w:left="200" w:right="200"/>
      </w:pPr>
      <w:r>
        <w:rPr>
          <w:rFonts w:ascii="Arial" w:cs="Arial" w:eastAsia="Arial" w:hAnsi="Arial"/>
          <w:i/>
          <w:iCs/>
          <w:color w:val="1B3A5C"/>
          <w:sz w:val="19"/>
          <w:szCs w:val="19"/>
        </w:rPr>
        <w:t xml:space="preserve">Primary users: CRA, Clinical Team Lead, Medical Monitor. Used on-demand when a signal requires deeper understanding. The “why” behind every “what.”</w:t>
      </w:r>
    </w:p>
    <w:p>
      <w:pPr>
        <w:spacing w:before="320" w:after="120"/>
      </w:pPr>
      <w:r>
        <w:rPr>
          <w:rFonts w:ascii="Arial" w:cs="Arial" w:eastAsia="Arial" w:hAnsi="Arial"/>
          <w:b/>
          <w:bCs/>
          <w:color w:val="2E6B9E"/>
          <w:sz w:val="24"/>
          <w:szCs w:val="24"/>
        </w:rPr>
        <w:t xml:space="preserve">Screen 2.1: Investigation Workspace</w:t>
      </w:r>
    </w:p>
    <w:p>
      <w:pPr>
        <w:spacing w:before="160" w:after="60"/>
      </w:pPr>
      <w:r>
        <w:rPr>
          <w:rFonts w:ascii="Arial" w:cs="Arial" w:eastAsia="Arial" w:hAnsi="Arial"/>
          <w:b/>
          <w:bCs/>
          <w:i/>
          <w:iCs/>
          <w:color w:val="2E6B9E"/>
          <w:sz w:val="20"/>
          <w:szCs w:val="20"/>
        </w:rPr>
        <w:t xml:space="preserve">Purpose</w:t>
      </w:r>
    </w:p>
    <w:p>
      <w:pPr>
        <w:spacing w:before="60" w:after="60" w:line="276"/>
      </w:pPr>
      <w:r>
        <w:rPr>
          <w:rFonts w:ascii="Arial" w:cs="Arial" w:eastAsia="Arial" w:hAnsi="Arial"/>
          <w:color w:val="333333"/>
          <w:sz w:val="20"/>
          <w:szCs w:val="20"/>
        </w:rPr>
        <w:t xml:space="preserve">A conversational interface for interrogating signals, combined with structured evidence panels that provide transparency into what the platform accessed.</w:t>
      </w:r>
    </w:p>
    <w:p>
      <w:pPr>
        <w:spacing w:before="160" w:after="60"/>
      </w:pPr>
      <w:r>
        <w:rPr>
          <w:rFonts w:ascii="Arial" w:cs="Arial" w:eastAsia="Arial" w:hAnsi="Arial"/>
          <w:b/>
          <w:bCs/>
          <w:i/>
          <w:iCs/>
          <w:color w:val="2E6B9E"/>
          <w:sz w:val="20"/>
          <w:szCs w:val="20"/>
        </w:rPr>
        <w:t xml:space="preserve">Layout: Three-Panel Design</w:t>
      </w:r>
    </w:p>
    <w:p>
      <w:pPr>
        <w:spacing w:before="60" w:after="60" w:line="276"/>
      </w:pPr>
      <w:r>
        <w:rPr>
          <w:rFonts w:ascii="Arial" w:cs="Arial" w:eastAsia="Arial" w:hAnsi="Arial"/>
          <w:b/>
          <w:bCs/>
          <w:color w:val="333333"/>
          <w:sz w:val="20"/>
          <w:szCs w:val="20"/>
        </w:rPr>
        <w:t xml:space="preserve">Left panel — Context Sidebar (collapsible, 25% width). </w:t>
      </w:r>
      <w:r>
        <w:rPr>
          <w:rFonts w:ascii="Arial" w:cs="Arial" w:eastAsia="Arial" w:hAnsi="Arial"/>
          <w:color w:val="333333"/>
          <w:sz w:val="20"/>
          <w:szCs w:val="20"/>
        </w:rPr>
        <w:t xml:space="preserve">Shows the signal card that initiated the investigation (if launched from a signal), the current site and subject context, quick-access links to the relevant dossier section, and a list of related signals the platform has identified. If launched without signal context (freeform investigation), this panel shows recently viewed signals and a “Select context” prompt.</w:t>
      </w:r>
    </w:p>
    <w:p>
      <w:pPr>
        <w:spacing w:before="60" w:after="60" w:line="276"/>
      </w:pPr>
      <w:r>
        <w:rPr>
          <w:rFonts w:ascii="Arial" w:cs="Arial" w:eastAsia="Arial" w:hAnsi="Arial"/>
          <w:b/>
          <w:bCs/>
          <w:color w:val="333333"/>
          <w:sz w:val="20"/>
          <w:szCs w:val="20"/>
        </w:rPr>
        <w:t xml:space="preserve">Center panel — Conversation (50% width). </w:t>
      </w:r>
      <w:r>
        <w:rPr>
          <w:rFonts w:ascii="Arial" w:cs="Arial" w:eastAsia="Arial" w:hAnsi="Arial"/>
          <w:color w:val="333333"/>
          <w:sz w:val="20"/>
          <w:szCs w:val="20"/>
        </w:rPr>
        <w:t xml:space="preserve">The primary interaction area. A chat-style interface where the user asks questions and the platform responds. Each response includes: the synthesized answer in natural language, inline citations linking to source data (clickable — opens in the right panel), confidence indicators where the platform is uncertain, and suggested follow-up questions as clickable chips below the response.</w:t>
      </w:r>
    </w:p>
    <w:p>
      <w:pPr>
        <w:spacing w:before="60" w:after="60" w:line="276"/>
      </w:pPr>
      <w:r>
        <w:rPr>
          <w:rFonts w:ascii="Arial" w:cs="Arial" w:eastAsia="Arial" w:hAnsi="Arial"/>
          <w:b/>
          <w:bCs/>
          <w:color w:val="333333"/>
          <w:sz w:val="20"/>
          <w:szCs w:val="20"/>
        </w:rPr>
        <w:t xml:space="preserve">Right panel — Evidence &amp; Sources (collapsible, 25% width). </w:t>
      </w:r>
      <w:r>
        <w:rPr>
          <w:rFonts w:ascii="Arial" w:cs="Arial" w:eastAsia="Arial" w:hAnsi="Arial"/>
          <w:color w:val="333333"/>
          <w:sz w:val="20"/>
          <w:szCs w:val="20"/>
        </w:rPr>
        <w:t xml:space="preserve">Dynamically updated as the conversation progresses. Shows: which tools the LLM invoked for the most recent response (Structured Query / Document Retrieval / Signal Context), the actual query or retrieval parameters used, source data excerpts with system attribution and timestamps, and document sections retrieved with highlights on relevant passages. This transparency panel is critical for trust — the user can verify that the platform’s answer is based on the right data.</w:t>
      </w:r>
    </w:p>
    <w:p>
      <w:pPr>
        <w:spacing w:before="160" w:after="60"/>
      </w:pPr>
      <w:r>
        <w:rPr>
          <w:rFonts w:ascii="Arial" w:cs="Arial" w:eastAsia="Arial" w:hAnsi="Arial"/>
          <w:b/>
          <w:bCs/>
          <w:i/>
          <w:iCs/>
          <w:color w:val="2E6B9E"/>
          <w:sz w:val="20"/>
          <w:szCs w:val="20"/>
        </w:rPr>
        <w:t xml:space="preserve">Interaction Patterns</w:t>
      </w:r>
    </w:p>
    <w:p>
      <w:pPr>
        <w:spacing w:before="160" w:after="60"/>
      </w:pPr>
      <w:r>
        <w:rPr>
          <w:rFonts w:ascii="Arial" w:cs="Arial" w:eastAsia="Arial" w:hAnsi="Arial"/>
          <w:b/>
          <w:bCs/>
          <w:i/>
          <w:iCs/>
          <w:color w:val="2E6B9E"/>
          <w:sz w:val="20"/>
          <w:szCs w:val="20"/>
        </w:rPr>
        <w:t xml:space="preserve">Entry Points</w:t>
      </w:r>
    </w:p>
    <w:p>
      <w:pPr>
        <w:spacing w:before="60" w:after="60" w:line="276"/>
      </w:pPr>
      <w:r>
        <w:rPr>
          <w:rFonts w:ascii="Arial" w:cs="Arial" w:eastAsia="Arial" w:hAnsi="Arial"/>
          <w:color w:val="333333"/>
          <w:sz w:val="20"/>
          <w:szCs w:val="20"/>
        </w:rPr>
        <w:t xml:space="preserve">The investigation interface can be launched from three entry points, each pre-loading different context:</w:t>
      </w:r>
    </w:p>
    <w:p>
      <w:pPr>
        <w:spacing w:before="60" w:after="60" w:line="276"/>
      </w:pPr>
      <w:r>
        <w:rPr>
          <w:rFonts w:ascii="Arial" w:cs="Arial" w:eastAsia="Arial" w:hAnsi="Arial"/>
          <w:b/>
          <w:bCs/>
          <w:color w:val="333333"/>
          <w:sz w:val="20"/>
          <w:szCs w:val="20"/>
        </w:rPr>
        <w:t xml:space="preserve">From a signal card: </w:t>
      </w:r>
      <w:r>
        <w:rPr>
          <w:rFonts w:ascii="Arial" w:cs="Arial" w:eastAsia="Arial" w:hAnsi="Arial"/>
          <w:color w:val="333333"/>
          <w:sz w:val="20"/>
          <w:szCs w:val="20"/>
        </w:rPr>
        <w:t xml:space="preserve">The “Investigate” button on any signal card opens the workspace with that signal’s full context loaded. The platform proactively presents an initial investigation summary: “This signal was detected because... The relevant context from prior visits shows... The analytical consequence is...” The user can then ask follow-up questions.</w:t>
      </w:r>
    </w:p>
    <w:p>
      <w:pPr>
        <w:spacing w:before="60" w:after="60" w:line="276"/>
      </w:pPr>
      <w:r>
        <w:rPr>
          <w:rFonts w:ascii="Arial" w:cs="Arial" w:eastAsia="Arial" w:hAnsi="Arial"/>
          <w:b/>
          <w:bCs/>
          <w:color w:val="333333"/>
          <w:sz w:val="20"/>
          <w:szCs w:val="20"/>
        </w:rPr>
        <w:t xml:space="preserve">From the dossier: </w:t>
      </w:r>
      <w:r>
        <w:rPr>
          <w:rFonts w:ascii="Arial" w:cs="Arial" w:eastAsia="Arial" w:hAnsi="Arial"/>
          <w:color w:val="333333"/>
          <w:sz w:val="20"/>
          <w:szCs w:val="20"/>
        </w:rPr>
        <w:t xml:space="preserve">Any signal in the dossier’s prioritized register has an “Investigate” link that opens the workspace with both signal and dossier context loaded.</w:t>
      </w:r>
    </w:p>
    <w:p>
      <w:pPr>
        <w:spacing w:before="60" w:after="60" w:line="276"/>
      </w:pPr>
      <w:r>
        <w:rPr>
          <w:rFonts w:ascii="Arial" w:cs="Arial" w:eastAsia="Arial" w:hAnsi="Arial"/>
          <w:b/>
          <w:bCs/>
          <w:color w:val="333333"/>
          <w:sz w:val="20"/>
          <w:szCs w:val="20"/>
        </w:rPr>
        <w:t xml:space="preserve">From the sidebar: </w:t>
      </w:r>
      <w:r>
        <w:rPr>
          <w:rFonts w:ascii="Arial" w:cs="Arial" w:eastAsia="Arial" w:hAnsi="Arial"/>
          <w:color w:val="333333"/>
          <w:sz w:val="20"/>
          <w:szCs w:val="20"/>
        </w:rPr>
        <w:t xml:space="preserve">Opens a blank workspace for freeform questions. The user can type any question about any site, subject, or data element. The platform infers context from the question.</w:t>
      </w:r>
    </w:p>
    <w:p>
      <w:pPr>
        <w:spacing w:before="160" w:after="60"/>
      </w:pPr>
      <w:r>
        <w:rPr>
          <w:rFonts w:ascii="Arial" w:cs="Arial" w:eastAsia="Arial" w:hAnsi="Arial"/>
          <w:b/>
          <w:bCs/>
          <w:i/>
          <w:iCs/>
          <w:color w:val="2E6B9E"/>
          <w:sz w:val="20"/>
          <w:szCs w:val="20"/>
        </w:rPr>
        <w:t xml:space="preserve">Suggested Follow-Up Questions</w:t>
      </w:r>
    </w:p>
    <w:p>
      <w:pPr>
        <w:spacing w:before="60" w:after="60" w:line="276"/>
      </w:pPr>
      <w:r>
        <w:rPr>
          <w:rFonts w:ascii="Arial" w:cs="Arial" w:eastAsia="Arial" w:hAnsi="Arial"/>
          <w:color w:val="333333"/>
          <w:sz w:val="20"/>
          <w:szCs w:val="20"/>
        </w:rPr>
        <w:t xml:space="preserve">After each response, the platform suggests 2–3 follow-up questions as clickable chips. These are contextually generated based on what was just discussed. For example, after investigating a missing tumor assessment, suggestions might include: “Are other subjects at this site affected?”, “What did the prior MVR say about imaging scheduling?”, “What is the analytical consequence if this assessment is not recovered?” The user can click a suggestion or type their own question.</w:t>
      </w:r>
    </w:p>
    <w:p>
      <w:pPr>
        <w:spacing w:before="160" w:after="60"/>
      </w:pPr>
      <w:r>
        <w:rPr>
          <w:rFonts w:ascii="Arial" w:cs="Arial" w:eastAsia="Arial" w:hAnsi="Arial"/>
          <w:b/>
          <w:bCs/>
          <w:i/>
          <w:iCs/>
          <w:color w:val="2E6B9E"/>
          <w:sz w:val="20"/>
          <w:szCs w:val="20"/>
        </w:rPr>
        <w:t xml:space="preserve">Investigation Summary Export</w:t>
      </w:r>
    </w:p>
    <w:p>
      <w:pPr>
        <w:spacing w:before="60" w:after="60" w:line="276"/>
      </w:pPr>
      <w:r>
        <w:rPr>
          <w:rFonts w:ascii="Arial" w:cs="Arial" w:eastAsia="Arial" w:hAnsi="Arial"/>
          <w:color w:val="333333"/>
          <w:sz w:val="20"/>
          <w:szCs w:val="20"/>
        </w:rPr>
        <w:t xml:space="preserve">At any point in an investigation session, the user can click “Summarize Investigation” to generate a structured summary of the session: key findings, evidence accessed, conclusions reached, and recommended actions. This summary can be exported as a standalone note, attached to the signal’s record, or carried into the MVR CoPilot (Feature 4) as supporting context.</w:t>
      </w:r>
    </w:p>
    <w:p>
      <w:pPr>
        <w:pBdr>
          <w:bottom w:val="single" w:color="1B3A5C" w:sz="6" w:space="4"/>
        </w:pBdr>
        <w:spacing w:before="400" w:after="160"/>
      </w:pPr>
      <w:r>
        <w:rPr>
          <w:rFonts w:ascii="Arial" w:cs="Arial" w:eastAsia="Arial" w:hAnsi="Arial"/>
          <w:b/>
          <w:bCs/>
          <w:color w:val="1B3A5C"/>
          <w:sz w:val="28"/>
          <w:szCs w:val="28"/>
        </w:rPr>
        <w:t xml:space="preserve">Feature 3: Site Dossier</w:t>
      </w:r>
    </w:p>
    <w:p>
      <w:pPr>
        <w:pBdr>
          <w:top w:val="single" w:color="2E6B9E" w:sz="1" w:space="1"/>
          <w:bottom w:val="single" w:color="2E6B9E" w:sz="1" w:space="1"/>
        </w:pBdr>
        <w:shd w:fill="E8F0F8" w:val="clear"/>
        <w:spacing w:before="160" w:after="160"/>
        <w:ind w:left="200" w:right="200"/>
      </w:pPr>
      <w:r>
        <w:rPr>
          <w:rFonts w:ascii="Arial" w:cs="Arial" w:eastAsia="Arial" w:hAnsi="Arial"/>
          <w:i/>
          <w:iCs/>
          <w:color w:val="1B3A5C"/>
          <w:sz w:val="19"/>
          <w:szCs w:val="19"/>
        </w:rPr>
        <w:t xml:space="preserve">Primary user: CRA preparing for a monitoring visit. The platform’s primary deliverable. Designed for focused, efficient visit preparation.</w:t>
      </w:r>
    </w:p>
    <w:p>
      <w:pPr>
        <w:spacing w:before="320" w:after="120"/>
      </w:pPr>
      <w:r>
        <w:rPr>
          <w:rFonts w:ascii="Arial" w:cs="Arial" w:eastAsia="Arial" w:hAnsi="Arial"/>
          <w:b/>
          <w:bCs/>
          <w:color w:val="2E6B9E"/>
          <w:sz w:val="24"/>
          <w:szCs w:val="24"/>
        </w:rPr>
        <w:t xml:space="preserve">Screen 3.1: Dossier Landing — Site Selector</w:t>
      </w:r>
    </w:p>
    <w:p>
      <w:pPr>
        <w:spacing w:before="160" w:after="60"/>
      </w:pPr>
      <w:r>
        <w:rPr>
          <w:rFonts w:ascii="Arial" w:cs="Arial" w:eastAsia="Arial" w:hAnsi="Arial"/>
          <w:b/>
          <w:bCs/>
          <w:i/>
          <w:iCs/>
          <w:color w:val="2E6B9E"/>
          <w:sz w:val="20"/>
          <w:szCs w:val="20"/>
        </w:rPr>
        <w:t xml:space="preserve">Purpose</w:t>
      </w:r>
    </w:p>
    <w:p>
      <w:pPr>
        <w:spacing w:before="60" w:after="60" w:line="276"/>
      </w:pPr>
      <w:r>
        <w:rPr>
          <w:rFonts w:ascii="Arial" w:cs="Arial" w:eastAsia="Arial" w:hAnsi="Arial"/>
          <w:color w:val="333333"/>
          <w:sz w:val="20"/>
          <w:szCs w:val="20"/>
        </w:rPr>
        <w:t xml:space="preserve">Select a site and monitoring cycle to view its dossier.</w:t>
      </w:r>
    </w:p>
    <w:p>
      <w:pPr>
        <w:spacing w:before="160" w:after="60"/>
      </w:pPr>
      <w:r>
        <w:rPr>
          <w:rFonts w:ascii="Arial" w:cs="Arial" w:eastAsia="Arial" w:hAnsi="Arial"/>
          <w:b/>
          <w:bCs/>
          <w:i/>
          <w:iCs/>
          <w:color w:val="2E6B9E"/>
          <w:sz w:val="20"/>
          <w:szCs w:val="20"/>
        </w:rPr>
        <w:t xml:space="preserve">Layout</w:t>
      </w:r>
    </w:p>
    <w:p>
      <w:pPr>
        <w:spacing w:before="60" w:after="60" w:line="276"/>
      </w:pPr>
      <w:r>
        <w:rPr>
          <w:rFonts w:ascii="Arial" w:cs="Arial" w:eastAsia="Arial" w:hAnsi="Arial"/>
          <w:color w:val="333333"/>
          <w:sz w:val="20"/>
          <w:szCs w:val="20"/>
        </w:rPr>
        <w:t xml:space="preserve">A grid of site tiles, each showing: site number and investigator name, dossier status for the current cycle (Ready / Processing / Pending Data), signal summary (P1/P2/P3 counts), site health trend indicator (improving / stable / deteriorating arrow), and days until the next scheduled visit (if available from CTMS). Tiles with unread dossiers show a “New” badge. A cycle selector dropdown at the top allows viewing prior cycles’ dossiers for comparison.</w:t>
      </w:r>
    </w:p>
    <w:p>
      <w:pPr>
        <w:spacing w:before="320" w:after="120"/>
      </w:pPr>
      <w:r>
        <w:rPr>
          <w:rFonts w:ascii="Arial" w:cs="Arial" w:eastAsia="Arial" w:hAnsi="Arial"/>
          <w:b/>
          <w:bCs/>
          <w:color w:val="2E6B9E"/>
          <w:sz w:val="24"/>
          <w:szCs w:val="24"/>
        </w:rPr>
        <w:t xml:space="preserve">Screen 3.2: The Dossier View</w:t>
      </w:r>
    </w:p>
    <w:p>
      <w:pPr>
        <w:spacing w:before="160" w:after="60"/>
      </w:pPr>
      <w:r>
        <w:rPr>
          <w:rFonts w:ascii="Arial" w:cs="Arial" w:eastAsia="Arial" w:hAnsi="Arial"/>
          <w:b/>
          <w:bCs/>
          <w:i/>
          <w:iCs/>
          <w:color w:val="2E6B9E"/>
          <w:sz w:val="20"/>
          <w:szCs w:val="20"/>
        </w:rPr>
        <w:t xml:space="preserve">Purpose</w:t>
      </w:r>
    </w:p>
    <w:p>
      <w:pPr>
        <w:spacing w:before="60" w:after="60" w:line="276"/>
      </w:pPr>
      <w:r>
        <w:rPr>
          <w:rFonts w:ascii="Arial" w:cs="Arial" w:eastAsia="Arial" w:hAnsi="Arial"/>
          <w:color w:val="333333"/>
          <w:sz w:val="20"/>
          <w:szCs w:val="20"/>
        </w:rPr>
        <w:t xml:space="preserve">The primary dossier reading experience. Designed as a structured document that the CRA reads top-to-bottom for visit preparation, with interactive elements for deeper exploration.</w:t>
      </w:r>
    </w:p>
    <w:p>
      <w:pPr>
        <w:spacing w:before="160" w:after="60"/>
      </w:pPr>
      <w:r>
        <w:rPr>
          <w:rFonts w:ascii="Arial" w:cs="Arial" w:eastAsia="Arial" w:hAnsi="Arial"/>
          <w:b/>
          <w:bCs/>
          <w:i/>
          <w:iCs/>
          <w:color w:val="2E6B9E"/>
          <w:sz w:val="20"/>
          <w:szCs w:val="20"/>
        </w:rPr>
        <w:t xml:space="preserve">Section: Dossier Header</w:t>
      </w:r>
    </w:p>
    <w:p>
      <w:pPr>
        <w:spacing w:before="60" w:after="60" w:line="276"/>
      </w:pPr>
      <w:r>
        <w:rPr>
          <w:rFonts w:ascii="Arial" w:cs="Arial" w:eastAsia="Arial" w:hAnsi="Arial"/>
          <w:color w:val="333333"/>
          <w:sz w:val="20"/>
          <w:szCs w:val="20"/>
        </w:rPr>
        <w:t xml:space="preserve">A fixed header showing: site number, investigator, dossier generation date, data currency (most recent export dates per source), criticality model version, and cycle number. A “Compare to Prior Cycle” toggle overlays the prior cycle’s signal status for side-by-side comparison.</w:t>
      </w:r>
    </w:p>
    <w:p>
      <w:pPr>
        <w:spacing w:before="160" w:after="60"/>
      </w:pPr>
      <w:r>
        <w:rPr>
          <w:rFonts w:ascii="Arial" w:cs="Arial" w:eastAsia="Arial" w:hAnsi="Arial"/>
          <w:b/>
          <w:bCs/>
          <w:i/>
          <w:iCs/>
          <w:color w:val="2E6B9E"/>
          <w:sz w:val="20"/>
          <w:szCs w:val="20"/>
        </w:rPr>
        <w:t xml:space="preserve">Section: Site Health Context</w:t>
      </w:r>
    </w:p>
    <w:p>
      <w:pPr>
        <w:spacing w:before="60" w:after="60" w:line="276"/>
      </w:pPr>
      <w:r>
        <w:rPr>
          <w:rFonts w:ascii="Arial" w:cs="Arial" w:eastAsia="Arial" w:hAnsi="Arial"/>
          <w:color w:val="333333"/>
          <w:sz w:val="20"/>
          <w:szCs w:val="20"/>
        </w:rPr>
        <w:t xml:space="preserve">The narrative summary occupying the first section. Presented as readable prose with embedded metric badges (Tier 1 completion: 87% ↑, Query Aging: 4.2 days ↓). Source metrics are displayed in a compact table alongside the narrative so the reviewer can verify the interpretation. Trend arrows use color: green for improving, red for deteriorating, gray for stable.</w:t>
      </w:r>
    </w:p>
    <w:p>
      <w:pPr>
        <w:spacing w:before="160" w:after="60"/>
      </w:pPr>
      <w:r>
        <w:rPr>
          <w:rFonts w:ascii="Arial" w:cs="Arial" w:eastAsia="Arial" w:hAnsi="Arial"/>
          <w:b/>
          <w:bCs/>
          <w:i/>
          <w:iCs/>
          <w:color w:val="2E6B9E"/>
          <w:sz w:val="20"/>
          <w:szCs w:val="20"/>
        </w:rPr>
        <w:t xml:space="preserve">Section: Prioritized Signal Register</w:t>
      </w:r>
    </w:p>
    <w:p>
      <w:pPr>
        <w:spacing w:before="60" w:after="60" w:line="276"/>
      </w:pPr>
      <w:r>
        <w:rPr>
          <w:rFonts w:ascii="Arial" w:cs="Arial" w:eastAsia="Arial" w:hAnsi="Arial"/>
          <w:color w:val="333333"/>
          <w:sz w:val="20"/>
          <w:szCs w:val="20"/>
        </w:rPr>
        <w:t xml:space="preserve">The core of the dossier. Signals presented as a vertical list of signal cards (using the same Signal Card component from Feature 1) ordered by priority then urgency. Each card is in its expanded state by default, showing the full root cause analysis and recommended action. Cycle status chips (NEW, CONTINUING, ESCALATED) are prominent. A left-margin color band provides visual scanning: red stripe for P1, amber for P2, gray for P3.</w:t>
      </w:r>
    </w:p>
    <w:p>
      <w:pPr>
        <w:spacing w:before="160" w:after="60"/>
      </w:pPr>
      <w:r>
        <w:rPr>
          <w:rFonts w:ascii="Arial" w:cs="Arial" w:eastAsia="Arial" w:hAnsi="Arial"/>
          <w:b/>
          <w:bCs/>
          <w:i/>
          <w:iCs/>
          <w:color w:val="2E6B9E"/>
          <w:sz w:val="20"/>
          <w:szCs w:val="20"/>
        </w:rPr>
        <w:t xml:space="preserve">Section: Subject Evaluability Grid</w:t>
      </w:r>
    </w:p>
    <w:p>
      <w:pPr>
        <w:spacing w:before="60" w:after="60" w:line="276"/>
      </w:pPr>
      <w:r>
        <w:rPr>
          <w:rFonts w:ascii="Arial" w:cs="Arial" w:eastAsia="Arial" w:hAnsi="Arial"/>
          <w:color w:val="333333"/>
          <w:sz w:val="20"/>
          <w:szCs w:val="20"/>
        </w:rPr>
        <w:t xml:space="preserve">A compact table with one row per active subject at the site. Columns: Subject ID, Visit Compliance (% of expected visits completed), Tier 1 Completeness (% of Tier 1 assessments on track), Evaluability Status (green / amber / red circle), and Key Issue (one-line summary of the most critical open issue for this subject). Clicking a subject row expands to show their full Tier 1 assessment timeline: a horizontal bar chart showing each expected Tier 1 assessment, its completion status, and remaining window.</w:t>
      </w:r>
    </w:p>
    <w:p>
      <w:pPr>
        <w:spacing w:before="160" w:after="60"/>
      </w:pPr>
      <w:r>
        <w:rPr>
          <w:rFonts w:ascii="Arial" w:cs="Arial" w:eastAsia="Arial" w:hAnsi="Arial"/>
          <w:b/>
          <w:bCs/>
          <w:i/>
          <w:iCs/>
          <w:color w:val="2E6B9E"/>
          <w:sz w:val="20"/>
          <w:szCs w:val="20"/>
        </w:rPr>
        <w:t xml:space="preserve">Section: Cross-System Reconciliation Summary</w:t>
      </w:r>
    </w:p>
    <w:p>
      <w:pPr>
        <w:spacing w:before="60" w:after="60" w:line="276"/>
      </w:pPr>
      <w:r>
        <w:rPr>
          <w:rFonts w:ascii="Arial" w:cs="Arial" w:eastAsia="Arial" w:hAnsi="Arial"/>
          <w:color w:val="333333"/>
          <w:sz w:val="20"/>
          <w:szCs w:val="20"/>
        </w:rPr>
        <w:t xml:space="preserve">Outstanding discrepancies presented as a grouped list: AE/SAE Reconciliation, Lab Reconciliation, Imaging Reconciliation, etc. Each discrepancy shows the evidence from both systems side-by-side in a two-column layout with the mismatch highlighted. Discrepancies are tagged with criticality tier and priority.</w:t>
      </w:r>
    </w:p>
    <w:p>
      <w:pPr>
        <w:spacing w:before="160" w:after="60"/>
      </w:pPr>
      <w:r>
        <w:rPr>
          <w:rFonts w:ascii="Arial" w:cs="Arial" w:eastAsia="Arial" w:hAnsi="Arial"/>
          <w:b/>
          <w:bCs/>
          <w:i/>
          <w:iCs/>
          <w:color w:val="2E6B9E"/>
          <w:sz w:val="20"/>
          <w:szCs w:val="20"/>
        </w:rPr>
        <w:t xml:space="preserve">Section: Recommended Visit Focus</w:t>
      </w:r>
    </w:p>
    <w:p>
      <w:pPr>
        <w:spacing w:before="60" w:after="60" w:line="276"/>
      </w:pPr>
      <w:r>
        <w:rPr>
          <w:rFonts w:ascii="Arial" w:cs="Arial" w:eastAsia="Arial" w:hAnsi="Arial"/>
          <w:color w:val="333333"/>
          <w:sz w:val="20"/>
          <w:szCs w:val="20"/>
        </w:rPr>
        <w:t xml:space="preserve">A synthesized visit agenda presented as a numbered priority list. Each item includes: what to do, why (linked back to the signal), expected time investment, and a checkbox for the CRA to mark as “planned” during preparation. Items are grouped into: Must Address (P1 signals with closing windows), Should Address (P1/P2 signals without immediate urgency), and Can Defer (P3 items handleable through standard workflows).</w:t>
      </w:r>
    </w:p>
    <w:p>
      <w:pPr>
        <w:spacing w:before="320" w:after="120"/>
      </w:pPr>
      <w:r>
        <w:rPr>
          <w:rFonts w:ascii="Arial" w:cs="Arial" w:eastAsia="Arial" w:hAnsi="Arial"/>
          <w:b/>
          <w:bCs/>
          <w:color w:val="2E6B9E"/>
          <w:sz w:val="24"/>
          <w:szCs w:val="24"/>
        </w:rPr>
        <w:t xml:space="preserve">Screen 3.3: Signal Disposition Recording</w:t>
      </w:r>
    </w:p>
    <w:p>
      <w:pPr>
        <w:spacing w:before="160" w:after="60"/>
      </w:pPr>
      <w:r>
        <w:rPr>
          <w:rFonts w:ascii="Arial" w:cs="Arial" w:eastAsia="Arial" w:hAnsi="Arial"/>
          <w:b/>
          <w:bCs/>
          <w:i/>
          <w:iCs/>
          <w:color w:val="2E6B9E"/>
          <w:sz w:val="20"/>
          <w:szCs w:val="20"/>
        </w:rPr>
        <w:t xml:space="preserve">Purpose</w:t>
      </w:r>
    </w:p>
    <w:p>
      <w:pPr>
        <w:spacing w:before="60" w:after="60" w:line="276"/>
      </w:pPr>
      <w:r>
        <w:rPr>
          <w:rFonts w:ascii="Arial" w:cs="Arial" w:eastAsia="Arial" w:hAnsi="Arial"/>
          <w:color w:val="333333"/>
          <w:sz w:val="20"/>
          <w:szCs w:val="20"/>
        </w:rPr>
        <w:t xml:space="preserve">After the monitoring visit, the CRA records what happened with each signal. This feedback closes the loop and improves subsequent cycles.</w:t>
      </w:r>
    </w:p>
    <w:p>
      <w:pPr>
        <w:spacing w:before="160" w:after="60"/>
      </w:pPr>
      <w:r>
        <w:rPr>
          <w:rFonts w:ascii="Arial" w:cs="Arial" w:eastAsia="Arial" w:hAnsi="Arial"/>
          <w:b/>
          <w:bCs/>
          <w:i/>
          <w:iCs/>
          <w:color w:val="2E6B9E"/>
          <w:sz w:val="20"/>
          <w:szCs w:val="20"/>
        </w:rPr>
        <w:t xml:space="preserve">Layout</w:t>
      </w:r>
    </w:p>
    <w:p>
      <w:pPr>
        <w:spacing w:before="60" w:after="60" w:line="276"/>
      </w:pPr>
      <w:r>
        <w:rPr>
          <w:rFonts w:ascii="Arial" w:cs="Arial" w:eastAsia="Arial" w:hAnsi="Arial"/>
          <w:color w:val="333333"/>
          <w:sz w:val="20"/>
          <w:szCs w:val="20"/>
        </w:rPr>
        <w:t xml:space="preserve">The dossier switches to a “Post-Visit” mode (toggled by a button in the dossier header). Each signal card now shows a disposition panel below the recommended action. Disposition options: Addressed (with a brief note on what was done), Deferred (with required reason — e.g., awaiting site response, requires sponsor decision), Not Applicable (with required justification — this feedback is monitored for configuration issues), and Escalated (routes to the CTL or medical monitor with the CRA’s context). Each disposition is timestamped and attributed. A progress bar at the top shows: X of Y signals dispositioned.</w:t>
      </w:r>
    </w:p>
    <w:p>
      <w:pPr>
        <w:spacing w:before="320" w:after="120"/>
      </w:pPr>
      <w:r>
        <w:rPr>
          <w:rFonts w:ascii="Arial" w:cs="Arial" w:eastAsia="Arial" w:hAnsi="Arial"/>
          <w:b/>
          <w:bCs/>
          <w:color w:val="2E6B9E"/>
          <w:sz w:val="24"/>
          <w:szCs w:val="24"/>
        </w:rPr>
        <w:t xml:space="preserve">Screen 3.4: Dossier Export</w:t>
      </w:r>
    </w:p>
    <w:p>
      <w:pPr>
        <w:spacing w:before="160" w:after="60"/>
      </w:pPr>
      <w:r>
        <w:rPr>
          <w:rFonts w:ascii="Arial" w:cs="Arial" w:eastAsia="Arial" w:hAnsi="Arial"/>
          <w:b/>
          <w:bCs/>
          <w:i/>
          <w:iCs/>
          <w:color w:val="2E6B9E"/>
          <w:sz w:val="20"/>
          <w:szCs w:val="20"/>
        </w:rPr>
        <w:t xml:space="preserve">Purpose</w:t>
      </w:r>
    </w:p>
    <w:p>
      <w:pPr>
        <w:spacing w:before="60" w:after="60" w:line="276"/>
      </w:pPr>
      <w:r>
        <w:rPr>
          <w:rFonts w:ascii="Arial" w:cs="Arial" w:eastAsia="Arial" w:hAnsi="Arial"/>
          <w:color w:val="333333"/>
          <w:sz w:val="20"/>
          <w:szCs w:val="20"/>
        </w:rPr>
        <w:t xml:space="preserve">CRAs may need the dossier offline during site visits, particularly in locations with limited connectivity.</w:t>
      </w:r>
    </w:p>
    <w:p>
      <w:pPr>
        <w:spacing w:before="160" w:after="60"/>
      </w:pPr>
      <w:r>
        <w:rPr>
          <w:rFonts w:ascii="Arial" w:cs="Arial" w:eastAsia="Arial" w:hAnsi="Arial"/>
          <w:b/>
          <w:bCs/>
          <w:i/>
          <w:iCs/>
          <w:color w:val="2E6B9E"/>
          <w:sz w:val="20"/>
          <w:szCs w:val="20"/>
        </w:rPr>
        <w:t xml:space="preserve">Formats</w:t>
      </w:r>
    </w:p>
    <w:p>
      <w:pPr>
        <w:spacing w:before="60" w:after="60" w:line="276"/>
      </w:pPr>
      <w:r>
        <w:rPr>
          <w:rFonts w:ascii="Arial" w:cs="Arial" w:eastAsia="Arial" w:hAnsi="Arial"/>
          <w:color w:val="333333"/>
          <w:sz w:val="20"/>
          <w:szCs w:val="20"/>
        </w:rPr>
        <w:t xml:space="preserve">Export as PDF (print-optimized, static snapshot), export to the sponsor’s eTMF as a supporting document, and export as a structured data package (JSON/CSV) for integration with other clinical systems.</w:t>
      </w:r>
    </w:p>
    <w:p>
      <w:pPr>
        <w:pBdr>
          <w:bottom w:val="single" w:color="1B3A5C" w:sz="6" w:space="4"/>
        </w:pBdr>
        <w:spacing w:before="400" w:after="160"/>
      </w:pPr>
      <w:r>
        <w:rPr>
          <w:rFonts w:ascii="Arial" w:cs="Arial" w:eastAsia="Arial" w:hAnsi="Arial"/>
          <w:b/>
          <w:bCs/>
          <w:color w:val="1B3A5C"/>
          <w:sz w:val="28"/>
          <w:szCs w:val="28"/>
        </w:rPr>
        <w:t xml:space="preserve">Feature 4: MVR Creation CoPilot</w:t>
      </w:r>
    </w:p>
    <w:p>
      <w:pPr>
        <w:pBdr>
          <w:top w:val="single" w:color="2E6B9E" w:sz="1" w:space="1"/>
          <w:bottom w:val="single" w:color="2E6B9E" w:sz="1" w:space="1"/>
        </w:pBdr>
        <w:shd w:fill="E8F0F8" w:val="clear"/>
        <w:spacing w:before="160" w:after="160"/>
        <w:ind w:left="200" w:right="200"/>
      </w:pPr>
      <w:r>
        <w:rPr>
          <w:rFonts w:ascii="Arial" w:cs="Arial" w:eastAsia="Arial" w:hAnsi="Arial"/>
          <w:i/>
          <w:iCs/>
          <w:color w:val="1B3A5C"/>
          <w:sz w:val="19"/>
          <w:szCs w:val="19"/>
        </w:rPr>
        <w:t xml:space="preserve">Primary user: CRA after completing a monitoring visit. Closes the loop between pre-visit intelligence and post-visit documentation. The completed MVR feeds back into the platform for the next cycle.</w:t>
      </w:r>
    </w:p>
    <w:p>
      <w:pPr>
        <w:spacing w:before="320" w:after="120"/>
      </w:pPr>
      <w:r>
        <w:rPr>
          <w:rFonts w:ascii="Arial" w:cs="Arial" w:eastAsia="Arial" w:hAnsi="Arial"/>
          <w:b/>
          <w:bCs/>
          <w:color w:val="2E6B9E"/>
          <w:sz w:val="24"/>
          <w:szCs w:val="24"/>
        </w:rPr>
        <w:t xml:space="preserve">Screen 4.1: MVR Initiation</w:t>
      </w:r>
    </w:p>
    <w:p>
      <w:pPr>
        <w:spacing w:before="160" w:after="60"/>
      </w:pPr>
      <w:r>
        <w:rPr>
          <w:rFonts w:ascii="Arial" w:cs="Arial" w:eastAsia="Arial" w:hAnsi="Arial"/>
          <w:b/>
          <w:bCs/>
          <w:i/>
          <w:iCs/>
          <w:color w:val="2E6B9E"/>
          <w:sz w:val="20"/>
          <w:szCs w:val="20"/>
        </w:rPr>
        <w:t xml:space="preserve">Purpose</w:t>
      </w:r>
    </w:p>
    <w:p>
      <w:pPr>
        <w:spacing w:before="60" w:after="60" w:line="276"/>
      </w:pPr>
      <w:r>
        <w:rPr>
          <w:rFonts w:ascii="Arial" w:cs="Arial" w:eastAsia="Arial" w:hAnsi="Arial"/>
          <w:color w:val="333333"/>
          <w:sz w:val="20"/>
          <w:szCs w:val="20"/>
        </w:rPr>
        <w:t xml:space="preserve">Select the visit to document and configure the MVR.</w:t>
      </w:r>
    </w:p>
    <w:p>
      <w:pPr>
        <w:spacing w:before="160" w:after="60"/>
      </w:pPr>
      <w:r>
        <w:rPr>
          <w:rFonts w:ascii="Arial" w:cs="Arial" w:eastAsia="Arial" w:hAnsi="Arial"/>
          <w:b/>
          <w:bCs/>
          <w:i/>
          <w:iCs/>
          <w:color w:val="2E6B9E"/>
          <w:sz w:val="20"/>
          <w:szCs w:val="20"/>
        </w:rPr>
        <w:t xml:space="preserve">Layout</w:t>
      </w:r>
    </w:p>
    <w:p>
      <w:pPr>
        <w:spacing w:before="60" w:after="60" w:line="276"/>
      </w:pPr>
      <w:r>
        <w:rPr>
          <w:rFonts w:ascii="Arial" w:cs="Arial" w:eastAsia="Arial" w:hAnsi="Arial"/>
          <w:color w:val="333333"/>
          <w:sz w:val="20"/>
          <w:szCs w:val="20"/>
        </w:rPr>
        <w:t xml:space="preserve">A list of recent visits with dossiers that have dispositions recorded but no MVR yet. Each row shows: site number, visit date, signal count addressed, disposition completion (complete / partial), and a “Start MVR” button. If the sponsor’s MVR template has been uploaded in Configuration, it is shown as the selected template. If not, the platform offers a generic monitoring visit report structure.</w:t>
      </w:r>
    </w:p>
    <w:p>
      <w:pPr>
        <w:spacing w:before="320" w:after="120"/>
      </w:pPr>
      <w:r>
        <w:rPr>
          <w:rFonts w:ascii="Arial" w:cs="Arial" w:eastAsia="Arial" w:hAnsi="Arial"/>
          <w:b/>
          <w:bCs/>
          <w:color w:val="2E6B9E"/>
          <w:sz w:val="24"/>
          <w:szCs w:val="24"/>
        </w:rPr>
        <w:t xml:space="preserve">Screen 4.2: The CoPilot Editor</w:t>
      </w:r>
    </w:p>
    <w:p>
      <w:pPr>
        <w:spacing w:before="160" w:after="60"/>
      </w:pPr>
      <w:r>
        <w:rPr>
          <w:rFonts w:ascii="Arial" w:cs="Arial" w:eastAsia="Arial" w:hAnsi="Arial"/>
          <w:b/>
          <w:bCs/>
          <w:i/>
          <w:iCs/>
          <w:color w:val="2E6B9E"/>
          <w:sz w:val="20"/>
          <w:szCs w:val="20"/>
        </w:rPr>
        <w:t xml:space="preserve">Purpose</w:t>
      </w:r>
    </w:p>
    <w:p>
      <w:pPr>
        <w:spacing w:before="60" w:after="60" w:line="276"/>
      </w:pPr>
      <w:r>
        <w:rPr>
          <w:rFonts w:ascii="Arial" w:cs="Arial" w:eastAsia="Arial" w:hAnsi="Arial"/>
          <w:color w:val="333333"/>
          <w:sz w:val="20"/>
          <w:szCs w:val="20"/>
        </w:rPr>
        <w:t xml:space="preserve">The primary authoring environment. A structured document editor where the CoPilot pre-populates data-derived sections and the CRA adds, edits, and completes the report.</w:t>
      </w:r>
    </w:p>
    <w:p>
      <w:pPr>
        <w:spacing w:before="160" w:after="60"/>
      </w:pPr>
      <w:r>
        <w:rPr>
          <w:rFonts w:ascii="Arial" w:cs="Arial" w:eastAsia="Arial" w:hAnsi="Arial"/>
          <w:b/>
          <w:bCs/>
          <w:i/>
          <w:iCs/>
          <w:color w:val="2E6B9E"/>
          <w:sz w:val="20"/>
          <w:szCs w:val="20"/>
        </w:rPr>
        <w:t xml:space="preserve">Layout: Two-Panel Design</w:t>
      </w:r>
    </w:p>
    <w:p>
      <w:pPr>
        <w:spacing w:before="60" w:after="60" w:line="276"/>
      </w:pPr>
      <w:r>
        <w:rPr>
          <w:rFonts w:ascii="Arial" w:cs="Arial" w:eastAsia="Arial" w:hAnsi="Arial"/>
          <w:b/>
          <w:bCs/>
          <w:color w:val="333333"/>
          <w:sz w:val="20"/>
          <w:szCs w:val="20"/>
        </w:rPr>
        <w:t xml:space="preserve">Left panel — The MVR Document (65% width). </w:t>
      </w:r>
      <w:r>
        <w:rPr>
          <w:rFonts w:ascii="Arial" w:cs="Arial" w:eastAsia="Arial" w:hAnsi="Arial"/>
          <w:color w:val="333333"/>
          <w:sz w:val="20"/>
          <w:szCs w:val="20"/>
        </w:rPr>
        <w:t xml:space="preserve">A structured document editor organized by the MVR template’s sections. Each section has a header, a status indicator (AI Draft / CRA Edited / CRA Written / Empty), and editable content. The CRA writes directly in this panel.</w:t>
      </w:r>
    </w:p>
    <w:p>
      <w:pPr>
        <w:spacing w:before="60" w:after="60" w:line="276"/>
      </w:pPr>
      <w:r>
        <w:rPr>
          <w:rFonts w:ascii="Arial" w:cs="Arial" w:eastAsia="Arial" w:hAnsi="Arial"/>
          <w:b/>
          <w:bCs/>
          <w:color w:val="333333"/>
          <w:sz w:val="20"/>
          <w:szCs w:val="20"/>
        </w:rPr>
        <w:t xml:space="preserve">Right panel — Source Reference (35% width). </w:t>
      </w:r>
      <w:r>
        <w:rPr>
          <w:rFonts w:ascii="Arial" w:cs="Arial" w:eastAsia="Arial" w:hAnsi="Arial"/>
          <w:color w:val="333333"/>
          <w:sz w:val="20"/>
          <w:szCs w:val="20"/>
        </w:rPr>
        <w:t xml:space="preserve">Dynamically shows the evidence and context behind whatever section the CRA is currently editing. When the CRA clicks into the “Data Review Summary” section, the right panel shows the relevant signal cards, dispositions, and source data that informed the CoPilot’s draft. When the CRA clicks into “Safety Review,” the panel shows the reconciliation results and any safety signals.</w:t>
      </w:r>
    </w:p>
    <w:p>
      <w:pPr>
        <w:spacing w:before="160" w:after="60"/>
      </w:pPr>
      <w:r>
        <w:rPr>
          <w:rFonts w:ascii="Arial" w:cs="Arial" w:eastAsia="Arial" w:hAnsi="Arial"/>
          <w:b/>
          <w:bCs/>
          <w:i/>
          <w:iCs/>
          <w:color w:val="2E6B9E"/>
          <w:sz w:val="20"/>
          <w:szCs w:val="20"/>
        </w:rPr>
        <w:t xml:space="preserve">Section Types and CoPilot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MVR Section</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CoPilot Behavior</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CRA Role</w:t>
            </w:r>
          </w:p>
        </w:tc>
      </w:tr>
      <w:tr>
        <w:tc>
          <w:tcPr>
            <w:tcW w:type="dxa" w:w="260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pPr>
              <w:spacing w:line="252"/>
            </w:pPr>
            <w:r>
              <w:rPr>
                <w:rFonts w:ascii="Arial" w:cs="Arial" w:eastAsia="Arial" w:hAnsi="Arial"/>
                <w:b/>
                <w:bCs/>
                <w:color w:val="1B3A5C"/>
                <w:sz w:val="18"/>
                <w:szCs w:val="18"/>
              </w:rPr>
              <w:t xml:space="preserve">Visit Summary</w:t>
            </w:r>
          </w:p>
        </w:tc>
        <w:tc>
          <w:tcPr>
            <w:tcW w:type="dxa" w:w="280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pPr>
              <w:spacing w:line="252"/>
            </w:pPr>
            <w:r>
              <w:rPr>
                <w:rFonts w:ascii="Arial" w:cs="Arial" w:eastAsia="Arial" w:hAnsi="Arial"/>
                <w:color w:val="333333"/>
                <w:sz w:val="18"/>
                <w:szCs w:val="18"/>
              </w:rPr>
              <w:t xml:space="preserve">Drafts from visit metadata: date, type, duration, attendees (if recorded)</w:t>
            </w:r>
          </w:p>
        </w:tc>
        <w:tc>
          <w:tcPr>
            <w:tcW w:type="dxa" w:w="396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pPr>
              <w:spacing w:line="252"/>
            </w:pPr>
            <w:r>
              <w:rPr>
                <w:rFonts w:ascii="Arial" w:cs="Arial" w:eastAsia="Arial" w:hAnsi="Arial"/>
                <w:color w:val="333333"/>
                <w:sz w:val="18"/>
                <w:szCs w:val="18"/>
              </w:rPr>
              <w:t xml:space="preserve">Completes with actual attendees, visit logistics, any notable circumstances</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52"/>
            </w:pPr>
            <w:r>
              <w:rPr>
                <w:rFonts w:ascii="Arial" w:cs="Arial" w:eastAsia="Arial" w:hAnsi="Arial"/>
                <w:b/>
                <w:bCs/>
                <w:color w:val="1B3A5C"/>
                <w:sz w:val="18"/>
                <w:szCs w:val="18"/>
              </w:rPr>
              <w:t xml:space="preserve">Data Review</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52"/>
            </w:pPr>
            <w:r>
              <w:rPr>
                <w:rFonts w:ascii="Arial" w:cs="Arial" w:eastAsia="Arial" w:hAnsi="Arial"/>
                <w:color w:val="333333"/>
                <w:sz w:val="18"/>
                <w:szCs w:val="18"/>
              </w:rPr>
              <w:t xml:space="preserve">Drafts from dossier signals + CRA dispositions. References specific subjects, findings, and actions taken</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52"/>
            </w:pPr>
            <w:r>
              <w:rPr>
                <w:rFonts w:ascii="Arial" w:cs="Arial" w:eastAsia="Arial" w:hAnsi="Arial"/>
                <w:color w:val="333333"/>
                <w:sz w:val="18"/>
                <w:szCs w:val="18"/>
              </w:rPr>
              <w:t xml:space="preserve">Edits for accuracy, adds detail on source document verification, notes corrections requested</w:t>
            </w:r>
          </w:p>
        </w:tc>
      </w:tr>
      <w:tr>
        <w:tc>
          <w:tcPr>
            <w:tcW w:type="dxa" w:w="260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pPr>
              <w:spacing w:line="252"/>
            </w:pPr>
            <w:r>
              <w:rPr>
                <w:rFonts w:ascii="Arial" w:cs="Arial" w:eastAsia="Arial" w:hAnsi="Arial"/>
                <w:b/>
                <w:bCs/>
                <w:color w:val="1B3A5C"/>
                <w:sz w:val="18"/>
                <w:szCs w:val="18"/>
              </w:rPr>
              <w:t xml:space="preserve">Safety Review</w:t>
            </w:r>
          </w:p>
        </w:tc>
        <w:tc>
          <w:tcPr>
            <w:tcW w:type="dxa" w:w="280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pPr>
              <w:spacing w:line="252"/>
            </w:pPr>
            <w:r>
              <w:rPr>
                <w:rFonts w:ascii="Arial" w:cs="Arial" w:eastAsia="Arial" w:hAnsi="Arial"/>
                <w:color w:val="333333"/>
                <w:sz w:val="18"/>
                <w:szCs w:val="18"/>
              </w:rPr>
              <w:t xml:space="preserve">Drafts from AE/SAE reconciliation results, safety signals, and dispositions</w:t>
            </w:r>
          </w:p>
        </w:tc>
        <w:tc>
          <w:tcPr>
            <w:tcW w:type="dxa" w:w="396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pPr>
              <w:spacing w:line="252"/>
            </w:pPr>
            <w:r>
              <w:rPr>
                <w:rFonts w:ascii="Arial" w:cs="Arial" w:eastAsia="Arial" w:hAnsi="Arial"/>
                <w:color w:val="333333"/>
                <w:sz w:val="18"/>
                <w:szCs w:val="18"/>
              </w:rPr>
              <w:t xml:space="preserve">Verifies accuracy of reconciliation narrative, adds observations from AE/SAE log review</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52"/>
            </w:pPr>
            <w:r>
              <w:rPr>
                <w:rFonts w:ascii="Arial" w:cs="Arial" w:eastAsia="Arial" w:hAnsi="Arial"/>
                <w:b/>
                <w:bCs/>
                <w:color w:val="1B3A5C"/>
                <w:sz w:val="18"/>
                <w:szCs w:val="18"/>
              </w:rPr>
              <w:t xml:space="preserve">Site Process</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52"/>
            </w:pPr>
            <w:r>
              <w:rPr>
                <w:rFonts w:ascii="Arial" w:cs="Arial" w:eastAsia="Arial" w:hAnsi="Arial"/>
                <w:color w:val="333333"/>
                <w:sz w:val="18"/>
                <w:szCs w:val="18"/>
              </w:rPr>
              <w:t xml:space="preserve">Presents prompts only — does not draft content. Prompts cover: informed consent process, IP storage, lab processing, staff training</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52"/>
            </w:pPr>
            <w:r>
              <w:rPr>
                <w:rFonts w:ascii="Arial" w:cs="Arial" w:eastAsia="Arial" w:hAnsi="Arial"/>
                <w:color w:val="333333"/>
                <w:sz w:val="18"/>
                <w:szCs w:val="18"/>
              </w:rPr>
              <w:t xml:space="preserve">Writes entirely from on-site observation. This section is irreplaceable CRA content.</w:t>
            </w:r>
          </w:p>
        </w:tc>
      </w:tr>
      <w:tr>
        <w:tc>
          <w:tcPr>
            <w:tcW w:type="dxa" w:w="260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pPr>
              <w:spacing w:line="252"/>
            </w:pPr>
            <w:r>
              <w:rPr>
                <w:rFonts w:ascii="Arial" w:cs="Arial" w:eastAsia="Arial" w:hAnsi="Arial"/>
                <w:b/>
                <w:bCs/>
                <w:color w:val="1B3A5C"/>
                <w:sz w:val="18"/>
                <w:szCs w:val="18"/>
              </w:rPr>
              <w:t xml:space="preserve">Action Items</w:t>
            </w:r>
          </w:p>
        </w:tc>
        <w:tc>
          <w:tcPr>
            <w:tcW w:type="dxa" w:w="280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pPr>
              <w:spacing w:line="252"/>
            </w:pPr>
            <w:r>
              <w:rPr>
                <w:rFonts w:ascii="Arial" w:cs="Arial" w:eastAsia="Arial" w:hAnsi="Arial"/>
                <w:color w:val="333333"/>
                <w:sz w:val="18"/>
                <w:szCs w:val="18"/>
              </w:rPr>
              <w:t xml:space="preserve">Generates structured register from: new actions (from dispositions), prior actions with updated status, items raised during visit</w:t>
            </w:r>
          </w:p>
        </w:tc>
        <w:tc>
          <w:tcPr>
            <w:tcW w:type="dxa" w:w="396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pPr>
              <w:spacing w:line="252"/>
            </w:pPr>
            <w:r>
              <w:rPr>
                <w:rFonts w:ascii="Arial" w:cs="Arial" w:eastAsia="Arial" w:hAnsi="Arial"/>
                <w:color w:val="333333"/>
                <w:sz w:val="18"/>
                <w:szCs w:val="18"/>
              </w:rPr>
              <w:t xml:space="preserve">Reviews, adjusts owners and due dates, adds actions arising from on-site observations</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52"/>
            </w:pPr>
            <w:r>
              <w:rPr>
                <w:rFonts w:ascii="Arial" w:cs="Arial" w:eastAsia="Arial" w:hAnsi="Arial"/>
                <w:b/>
                <w:bCs/>
                <w:color w:val="1B3A5C"/>
                <w:sz w:val="18"/>
                <w:szCs w:val="18"/>
              </w:rPr>
              <w:t xml:space="preserve">Overall Assessment</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52"/>
            </w:pPr>
            <w:r>
              <w:rPr>
                <w:rFonts w:ascii="Arial" w:cs="Arial" w:eastAsia="Arial" w:hAnsi="Arial"/>
                <w:color w:val="333333"/>
                <w:sz w:val="18"/>
                <w:szCs w:val="18"/>
              </w:rPr>
              <w:t xml:space="preserve">Presents prompts only. Does not draft site performance assessment.</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52"/>
            </w:pPr>
            <w:r>
              <w:rPr>
                <w:rFonts w:ascii="Arial" w:cs="Arial" w:eastAsia="Arial" w:hAnsi="Arial"/>
                <w:color w:val="333333"/>
                <w:sz w:val="18"/>
                <w:szCs w:val="18"/>
              </w:rPr>
              <w:t xml:space="preserve">Writes the site’s overall assessment and risk characterization based on professional judgment</w:t>
            </w:r>
          </w:p>
        </w:tc>
      </w:tr>
    </w:tbl>
    <w:p>
      <w:pPr>
        <w:spacing w:before="160" w:after="60"/>
      </w:pPr>
      <w:r>
        <w:rPr>
          <w:rFonts w:ascii="Arial" w:cs="Arial" w:eastAsia="Arial" w:hAnsi="Arial"/>
          <w:b/>
          <w:bCs/>
          <w:i/>
          <w:iCs/>
          <w:color w:val="2E6B9E"/>
          <w:sz w:val="20"/>
          <w:szCs w:val="20"/>
        </w:rPr>
        <w:t xml:space="preserve">Inline Traceability</w:t>
      </w:r>
    </w:p>
    <w:p>
      <w:pPr>
        <w:spacing w:before="60" w:after="60" w:line="276"/>
      </w:pPr>
      <w:r>
        <w:rPr>
          <w:rFonts w:ascii="Arial" w:cs="Arial" w:eastAsia="Arial" w:hAnsi="Arial"/>
          <w:color w:val="333333"/>
          <w:sz w:val="20"/>
          <w:szCs w:val="20"/>
        </w:rPr>
        <w:t xml:space="preserve">Every CoPilot-drafted sentence has an inline reference marker (a small superscript link). Hovering shows the source: “From Signal #SIG-1042-07: Missing Week 24 Tumor Assessment, Subject 042. Disposition: Addressed — source document verified.” Clicking navigates to the source in the right panel. The CRA can remove the reference if they rewrite the sentence entirely.</w:t>
      </w:r>
    </w:p>
    <w:p>
      <w:pPr>
        <w:spacing w:before="160" w:after="60"/>
      </w:pPr>
      <w:r>
        <w:rPr>
          <w:rFonts w:ascii="Arial" w:cs="Arial" w:eastAsia="Arial" w:hAnsi="Arial"/>
          <w:b/>
          <w:bCs/>
          <w:i/>
          <w:iCs/>
          <w:color w:val="2E6B9E"/>
          <w:sz w:val="20"/>
          <w:szCs w:val="20"/>
        </w:rPr>
        <w:t xml:space="preserve">CoPilot Interaction Controls</w:t>
      </w:r>
    </w:p>
    <w:p>
      <w:pPr>
        <w:spacing w:before="60" w:after="60" w:line="276"/>
      </w:pPr>
      <w:r>
        <w:rPr>
          <w:rFonts w:ascii="Arial" w:cs="Arial" w:eastAsia="Arial" w:hAnsi="Arial"/>
          <w:color w:val="333333"/>
          <w:sz w:val="20"/>
          <w:szCs w:val="20"/>
        </w:rPr>
        <w:t xml:space="preserve">For each section, the CRA has four controls: Accept Draft (keeps the CoPilot’s text as-is, marked as CRA-reviewed), Edit Draft (modifies the CoPilot’s text directly in the editor), Rewrite (clears the draft and the CRA writes from scratch — the right panel still shows source context), and Regenerate (asks the CoPilot to produce a new draft, optionally with a guidance prompt, such as “more concise” or “emphasize the consent process issues”).</w:t>
      </w:r>
    </w:p>
    <w:p>
      <w:pPr>
        <w:spacing w:before="320" w:after="120"/>
      </w:pPr>
      <w:r>
        <w:rPr>
          <w:rFonts w:ascii="Arial" w:cs="Arial" w:eastAsia="Arial" w:hAnsi="Arial"/>
          <w:b/>
          <w:bCs/>
          <w:color w:val="2E6B9E"/>
          <w:sz w:val="24"/>
          <w:szCs w:val="24"/>
        </w:rPr>
        <w:t xml:space="preserve">Screen 4.3: Action Item Register</w:t>
      </w:r>
    </w:p>
    <w:p>
      <w:pPr>
        <w:spacing w:before="160" w:after="60"/>
      </w:pPr>
      <w:r>
        <w:rPr>
          <w:rFonts w:ascii="Arial" w:cs="Arial" w:eastAsia="Arial" w:hAnsi="Arial"/>
          <w:b/>
          <w:bCs/>
          <w:i/>
          <w:iCs/>
          <w:color w:val="2E6B9E"/>
          <w:sz w:val="20"/>
          <w:szCs w:val="20"/>
        </w:rPr>
        <w:t xml:space="preserve">Purpose</w:t>
      </w:r>
    </w:p>
    <w:p>
      <w:pPr>
        <w:spacing w:before="60" w:after="60" w:line="276"/>
      </w:pPr>
      <w:r>
        <w:rPr>
          <w:rFonts w:ascii="Arial" w:cs="Arial" w:eastAsia="Arial" w:hAnsi="Arial"/>
          <w:color w:val="333333"/>
          <w:sz w:val="20"/>
          <w:szCs w:val="20"/>
        </w:rPr>
        <w:t xml:space="preserve">A structured, interactive table embedded within the MVR for managing action items.</w:t>
      </w:r>
    </w:p>
    <w:p>
      <w:pPr>
        <w:spacing w:before="160" w:after="60"/>
      </w:pPr>
      <w:r>
        <w:rPr>
          <w:rFonts w:ascii="Arial" w:cs="Arial" w:eastAsia="Arial" w:hAnsi="Arial"/>
          <w:b/>
          <w:bCs/>
          <w:i/>
          <w:iCs/>
          <w:color w:val="2E6B9E"/>
          <w:sz w:val="20"/>
          <w:szCs w:val="20"/>
        </w:rPr>
        <w:t xml:space="preserve">Layout</w:t>
      </w:r>
    </w:p>
    <w:p>
      <w:pPr>
        <w:spacing w:before="60" w:after="60" w:line="276"/>
      </w:pPr>
      <w:r>
        <w:rPr>
          <w:rFonts w:ascii="Arial" w:cs="Arial" w:eastAsia="Arial" w:hAnsi="Arial"/>
          <w:color w:val="333333"/>
          <w:sz w:val="20"/>
          <w:szCs w:val="20"/>
        </w:rPr>
        <w:t xml:space="preserve">A table with columns: Action Item ID (auto-generated, sequential), Description, Owner (site / sponsor / CRA), Due Date, Source (linked to the signal or observation that generated it), Status (New / Carried Forward / Closed), and Priority. Items inherited from the prior visit are pre-populated with their current status. The CRA can add new items, close resolved items (with notes), and adjust ownership and dates. The completed register exports to the CTMS action item workflow and feeds into the next cycle’s dossier.</w:t>
      </w:r>
    </w:p>
    <w:p>
      <w:pPr>
        <w:spacing w:before="320" w:after="120"/>
      </w:pPr>
      <w:r>
        <w:rPr>
          <w:rFonts w:ascii="Arial" w:cs="Arial" w:eastAsia="Arial" w:hAnsi="Arial"/>
          <w:b/>
          <w:bCs/>
          <w:color w:val="2E6B9E"/>
          <w:sz w:val="24"/>
          <w:szCs w:val="24"/>
        </w:rPr>
        <w:t xml:space="preserve">Screen 4.4: Final Review &amp; Submission</w:t>
      </w:r>
    </w:p>
    <w:p>
      <w:pPr>
        <w:spacing w:before="160" w:after="60"/>
      </w:pPr>
      <w:r>
        <w:rPr>
          <w:rFonts w:ascii="Arial" w:cs="Arial" w:eastAsia="Arial" w:hAnsi="Arial"/>
          <w:b/>
          <w:bCs/>
          <w:i/>
          <w:iCs/>
          <w:color w:val="2E6B9E"/>
          <w:sz w:val="20"/>
          <w:szCs w:val="20"/>
        </w:rPr>
        <w:t xml:space="preserve">Purpose</w:t>
      </w:r>
    </w:p>
    <w:p>
      <w:pPr>
        <w:spacing w:before="60" w:after="60" w:line="276"/>
      </w:pPr>
      <w:r>
        <w:rPr>
          <w:rFonts w:ascii="Arial" w:cs="Arial" w:eastAsia="Arial" w:hAnsi="Arial"/>
          <w:color w:val="333333"/>
          <w:sz w:val="20"/>
          <w:szCs w:val="20"/>
        </w:rPr>
        <w:t xml:space="preserve">Pre-submission quality check and regulatory attribution.</w:t>
      </w:r>
    </w:p>
    <w:p>
      <w:pPr>
        <w:spacing w:before="160" w:after="60"/>
      </w:pPr>
      <w:r>
        <w:rPr>
          <w:rFonts w:ascii="Arial" w:cs="Arial" w:eastAsia="Arial" w:hAnsi="Arial"/>
          <w:b/>
          <w:bCs/>
          <w:i/>
          <w:iCs/>
          <w:color w:val="2E6B9E"/>
          <w:sz w:val="20"/>
          <w:szCs w:val="20"/>
        </w:rPr>
        <w:t xml:space="preserve">Layout</w:t>
      </w:r>
    </w:p>
    <w:p>
      <w:pPr>
        <w:spacing w:before="60" w:after="60" w:line="276"/>
      </w:pPr>
      <w:r>
        <w:rPr>
          <w:rFonts w:ascii="Arial" w:cs="Arial" w:eastAsia="Arial" w:hAnsi="Arial"/>
          <w:color w:val="333333"/>
          <w:sz w:val="20"/>
          <w:szCs w:val="20"/>
        </w:rPr>
        <w:t xml:space="preserve">A summary panel showing: total sections (X completed, Y empty), total action items (X new, Y closed, Z carried forward), CoPilot contribution breakdown (which sections were AI-drafted, which were CRA-written — this metadata is stored but not visible in the exported MVR), and a completeness checklist against the sponsor’s MVR template requirements.</w:t>
      </w:r>
    </w:p>
    <w:p>
      <w:pPr>
        <w:spacing w:before="60" w:after="60" w:line="276"/>
      </w:pPr>
      <w:r>
        <w:rPr>
          <w:rFonts w:ascii="Arial" w:cs="Arial" w:eastAsia="Arial" w:hAnsi="Arial"/>
          <w:color w:val="333333"/>
          <w:sz w:val="20"/>
          <w:szCs w:val="20"/>
        </w:rPr>
        <w:t xml:space="preserve">A prominent disclaimer at the bottom: “This Monitoring Visit Report will be attributed to [CRA Name] as the authoring monitor. By submitting, you confirm that you have reviewed all content for accuracy and completeness.”</w:t>
      </w:r>
    </w:p>
    <w:p>
      <w:pPr>
        <w:spacing w:before="60" w:after="60" w:line="276"/>
      </w:pPr>
      <w:r>
        <w:rPr>
          <w:rFonts w:ascii="Arial" w:cs="Arial" w:eastAsia="Arial" w:hAnsi="Arial"/>
          <w:color w:val="333333"/>
          <w:sz w:val="20"/>
          <w:szCs w:val="20"/>
        </w:rPr>
        <w:t xml:space="preserve">Submit action: generates the final MVR document, stores it in the platform, exports to the eTMF, and triggers ingestion into the platform’s unstructured document corpus for the next signal detection cycle.</w:t>
      </w:r>
    </w:p>
    <w:p>
      <w:pPr>
        <w:pBdr>
          <w:bottom w:val="single" w:color="1B3A5C" w:sz="6" w:space="4"/>
        </w:pBdr>
        <w:spacing w:before="400" w:after="160"/>
      </w:pPr>
      <w:r>
        <w:rPr>
          <w:rFonts w:ascii="Arial" w:cs="Arial" w:eastAsia="Arial" w:hAnsi="Arial"/>
          <w:b/>
          <w:bCs/>
          <w:color w:val="1B3A5C"/>
          <w:sz w:val="28"/>
          <w:szCs w:val="28"/>
        </w:rPr>
        <w:t xml:space="preserve">Cross-Cutting Design Concerns</w:t>
      </w:r>
    </w:p>
    <w:p>
      <w:pPr>
        <w:spacing w:before="320" w:after="120"/>
      </w:pPr>
      <w:r>
        <w:rPr>
          <w:rFonts w:ascii="Arial" w:cs="Arial" w:eastAsia="Arial" w:hAnsi="Arial"/>
          <w:b/>
          <w:bCs/>
          <w:color w:val="2E6B9E"/>
          <w:sz w:val="24"/>
          <w:szCs w:val="24"/>
        </w:rPr>
        <w:t xml:space="preserve">Role-Based Views</w:t>
      </w:r>
    </w:p>
    <w:p>
      <w:pPr>
        <w:spacing w:before="60" w:after="60" w:line="276"/>
      </w:pPr>
      <w:r>
        <w:rPr>
          <w:rFonts w:ascii="Arial" w:cs="Arial" w:eastAsia="Arial" w:hAnsi="Arial"/>
          <w:color w:val="333333"/>
          <w:sz w:val="20"/>
          <w:szCs w:val="20"/>
        </w:rPr>
        <w:t xml:space="preserve">The platform adapts its interface based on the user’s role. CRAs see their assigned sites only, with the dossier and MVR CoPilot as primary navigation destinations. CTLs see all sites in their portfolio with the study-wide signal dashboard as the landing screen. Medical Monitors see a safety-filtered view: only safety-relevant signals, AE/SAE reconciliation, and the safety review queue. RBQM Specialists see the KRI dashboards and QTL monitoring as their primary view. Administrators see the full configuration interface. Role determines not just visibility but emphasis: the same signal card appears with different contextual actions depending on the role viewing it.</w:t>
      </w:r>
    </w:p>
    <w:p>
      <w:pPr>
        <w:spacing w:before="320" w:after="120"/>
      </w:pPr>
      <w:r>
        <w:rPr>
          <w:rFonts w:ascii="Arial" w:cs="Arial" w:eastAsia="Arial" w:hAnsi="Arial"/>
          <w:b/>
          <w:bCs/>
          <w:color w:val="2E6B9E"/>
          <w:sz w:val="24"/>
          <w:szCs w:val="24"/>
        </w:rPr>
        <w:t xml:space="preserve">AI Transparency Indicators</w:t>
      </w:r>
    </w:p>
    <w:p>
      <w:pPr>
        <w:spacing w:before="60" w:after="60" w:line="276"/>
      </w:pPr>
      <w:r>
        <w:rPr>
          <w:rFonts w:ascii="Arial" w:cs="Arial" w:eastAsia="Arial" w:hAnsi="Arial"/>
          <w:color w:val="333333"/>
          <w:sz w:val="20"/>
          <w:szCs w:val="20"/>
        </w:rPr>
        <w:t xml:space="preserve">Every piece of LLM-generated content in the platform carries a visual indicator: a small, unobtrusive “AI-generated” badge. This appears on: narrative sections in the dossier’s site health context, consequence articulations in signal cards, root cause analysis text, investigation responses, and CoPilot-drafted MVR sections. The indicator is consistent and always present — users learn to recognize which content is synthesized (and therefore requires their verification) and which is computed from structured data (and therefore deterministic).</w:t>
      </w:r>
    </w:p>
    <w:p>
      <w:pPr>
        <w:spacing w:before="320" w:after="120"/>
      </w:pPr>
      <w:r>
        <w:rPr>
          <w:rFonts w:ascii="Arial" w:cs="Arial" w:eastAsia="Arial" w:hAnsi="Arial"/>
          <w:b/>
          <w:bCs/>
          <w:color w:val="2E6B9E"/>
          <w:sz w:val="24"/>
          <w:szCs w:val="24"/>
        </w:rPr>
        <w:t xml:space="preserve">Audit Trail</w:t>
      </w:r>
    </w:p>
    <w:p>
      <w:pPr>
        <w:spacing w:before="60" w:after="60" w:line="276"/>
      </w:pPr>
      <w:r>
        <w:rPr>
          <w:rFonts w:ascii="Arial" w:cs="Arial" w:eastAsia="Arial" w:hAnsi="Arial"/>
          <w:color w:val="333333"/>
          <w:sz w:val="20"/>
          <w:szCs w:val="20"/>
        </w:rPr>
        <w:t xml:space="preserve">Every user action that modifies platform state is logged: tier classification changes in Feature 0, signal dispositions in Feature 3, MVR edits in Feature 4, safety signal reviews in Feature 1, and configuration changes. The audit trail is accessible from a dedicated “Audit Log” section within the Configuration area, filterable by user, action type, date range, and affected artifact. This trail supports regulatory inspection readiness.</w:t>
      </w:r>
    </w:p>
    <w:p>
      <w:pPr>
        <w:spacing w:before="320" w:after="120"/>
      </w:pPr>
      <w:r>
        <w:rPr>
          <w:rFonts w:ascii="Arial" w:cs="Arial" w:eastAsia="Arial" w:hAnsi="Arial"/>
          <w:b/>
          <w:bCs/>
          <w:color w:val="2E6B9E"/>
          <w:sz w:val="24"/>
          <w:szCs w:val="24"/>
        </w:rPr>
        <w:t xml:space="preserve">Offline Capability</w:t>
      </w:r>
    </w:p>
    <w:p>
      <w:pPr>
        <w:spacing w:before="60" w:after="60" w:line="276"/>
      </w:pPr>
      <w:r>
        <w:rPr>
          <w:rFonts w:ascii="Arial" w:cs="Arial" w:eastAsia="Arial" w:hAnsi="Arial"/>
          <w:color w:val="333333"/>
          <w:sz w:val="20"/>
          <w:szCs w:val="20"/>
        </w:rPr>
        <w:t xml:space="preserve">CRAs conducting site visits may have limited connectivity. The platform supports: PDF export of dossiers for offline reference, offline disposition recording (synced when connectivity is restored), and offline MVR drafting in the CoPilot (synced on reconnection). Investigation (Feature 2) requires connectivity for LLM reasoning and is not available offline.</w:t>
      </w:r>
    </w:p>
    <w:p>
      <w:pPr>
        <w:spacing w:before="320" w:after="120"/>
      </w:pPr>
      <w:r>
        <w:rPr>
          <w:rFonts w:ascii="Arial" w:cs="Arial" w:eastAsia="Arial" w:hAnsi="Arial"/>
          <w:b/>
          <w:bCs/>
          <w:color w:val="2E6B9E"/>
          <w:sz w:val="24"/>
          <w:szCs w:val="24"/>
        </w:rPr>
        <w:t xml:space="preserve">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Interaction</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Target Latency</w:t>
            </w:r>
          </w:p>
        </w:tc>
      </w:tr>
      <w:tr>
        <w:tc>
          <w:tcPr>
            <w:tcW w:type="dxa" w:w="468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pPr>
              <w:spacing w:line="252"/>
            </w:pPr>
            <w:r>
              <w:rPr>
                <w:rFonts w:ascii="Arial" w:cs="Arial" w:eastAsia="Arial" w:hAnsi="Arial"/>
                <w:color w:val="333333"/>
                <w:sz w:val="18"/>
                <w:szCs w:val="18"/>
              </w:rPr>
              <w:t xml:space="preserve">Signal dashboard load (study-wide)</w:t>
            </w:r>
          </w:p>
        </w:tc>
        <w:tc>
          <w:tcPr>
            <w:tcW w:type="dxa" w:w="468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pPr>
              <w:spacing w:line="252"/>
            </w:pPr>
            <w:r>
              <w:rPr>
                <w:rFonts w:ascii="Arial" w:cs="Arial" w:eastAsia="Arial" w:hAnsi="Arial"/>
                <w:color w:val="333333"/>
                <w:sz w:val="18"/>
                <w:szCs w:val="18"/>
              </w:rPr>
              <w:t xml:space="preserve">&lt; 2 seconds</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52"/>
            </w:pPr>
            <w:r>
              <w:rPr>
                <w:rFonts w:ascii="Arial" w:cs="Arial" w:eastAsia="Arial" w:hAnsi="Arial"/>
                <w:color w:val="333333"/>
                <w:sz w:val="18"/>
                <w:szCs w:val="18"/>
              </w:rPr>
              <w:t xml:space="preserve">Dossier load (single site)</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52"/>
            </w:pPr>
            <w:r>
              <w:rPr>
                <w:rFonts w:ascii="Arial" w:cs="Arial" w:eastAsia="Arial" w:hAnsi="Arial"/>
                <w:color w:val="333333"/>
                <w:sz w:val="18"/>
                <w:szCs w:val="18"/>
              </w:rPr>
              <w:t xml:space="preserve">&lt; 3 seconds</w:t>
            </w:r>
          </w:p>
        </w:tc>
      </w:tr>
      <w:tr>
        <w:tc>
          <w:tcPr>
            <w:tcW w:type="dxa" w:w="468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pPr>
              <w:spacing w:line="252"/>
            </w:pPr>
            <w:r>
              <w:rPr>
                <w:rFonts w:ascii="Arial" w:cs="Arial" w:eastAsia="Arial" w:hAnsi="Arial"/>
                <w:color w:val="333333"/>
                <w:sz w:val="18"/>
                <w:szCs w:val="18"/>
              </w:rPr>
              <w:t xml:space="preserve">Investigation: simple structured query</w:t>
            </w:r>
          </w:p>
        </w:tc>
        <w:tc>
          <w:tcPr>
            <w:tcW w:type="dxa" w:w="468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pPr>
              <w:spacing w:line="252"/>
            </w:pPr>
            <w:r>
              <w:rPr>
                <w:rFonts w:ascii="Arial" w:cs="Arial" w:eastAsia="Arial" w:hAnsi="Arial"/>
                <w:color w:val="333333"/>
                <w:sz w:val="18"/>
                <w:szCs w:val="18"/>
              </w:rPr>
              <w:t xml:space="preserve">&lt; 5 seconds</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52"/>
            </w:pPr>
            <w:r>
              <w:rPr>
                <w:rFonts w:ascii="Arial" w:cs="Arial" w:eastAsia="Arial" w:hAnsi="Arial"/>
                <w:color w:val="333333"/>
                <w:sz w:val="18"/>
                <w:szCs w:val="18"/>
              </w:rPr>
              <w:t xml:space="preserve">Investigation: cross-system reasoning query</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52"/>
            </w:pPr>
            <w:r>
              <w:rPr>
                <w:rFonts w:ascii="Arial" w:cs="Arial" w:eastAsia="Arial" w:hAnsi="Arial"/>
                <w:color w:val="333333"/>
                <w:sz w:val="18"/>
                <w:szCs w:val="18"/>
              </w:rPr>
              <w:t xml:space="preserve">&lt; 30 seconds, with streaming response</w:t>
            </w:r>
          </w:p>
        </w:tc>
      </w:tr>
      <w:tr>
        <w:tc>
          <w:tcPr>
            <w:tcW w:type="dxa" w:w="468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pPr>
              <w:spacing w:line="252"/>
            </w:pPr>
            <w:r>
              <w:rPr>
                <w:rFonts w:ascii="Arial" w:cs="Arial" w:eastAsia="Arial" w:hAnsi="Arial"/>
                <w:color w:val="333333"/>
                <w:sz w:val="18"/>
                <w:szCs w:val="18"/>
              </w:rPr>
              <w:t xml:space="preserve">MVR CoPilot: section draft generation</w:t>
            </w:r>
          </w:p>
        </w:tc>
        <w:tc>
          <w:tcPr>
            <w:tcW w:type="dxa" w:w="468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pPr>
              <w:spacing w:line="252"/>
            </w:pPr>
            <w:r>
              <w:rPr>
                <w:rFonts w:ascii="Arial" w:cs="Arial" w:eastAsia="Arial" w:hAnsi="Arial"/>
                <w:color w:val="333333"/>
                <w:sz w:val="18"/>
                <w:szCs w:val="18"/>
              </w:rPr>
              <w:t xml:space="preserve">&lt; 10 seconds per section</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52"/>
            </w:pPr>
            <w:r>
              <w:rPr>
                <w:rFonts w:ascii="Arial" w:cs="Arial" w:eastAsia="Arial" w:hAnsi="Arial"/>
                <w:color w:val="333333"/>
                <w:sz w:val="18"/>
                <w:szCs w:val="18"/>
              </w:rPr>
              <w:t xml:space="preserve">Signal card expand (evidence panel)</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52"/>
            </w:pPr>
            <w:r>
              <w:rPr>
                <w:rFonts w:ascii="Arial" w:cs="Arial" w:eastAsia="Arial" w:hAnsi="Arial"/>
                <w:color w:val="333333"/>
                <w:sz w:val="18"/>
                <w:szCs w:val="18"/>
              </w:rPr>
              <w:t xml:space="preserve">&lt; 1 second (pre-loaded)</w:t>
            </w:r>
          </w:p>
        </w:tc>
      </w:tr>
      <w:tr>
        <w:tc>
          <w:tcPr>
            <w:tcW w:type="dxa" w:w="468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pPr>
              <w:spacing w:line="252"/>
            </w:pPr>
            <w:r>
              <w:rPr>
                <w:rFonts w:ascii="Arial" w:cs="Arial" w:eastAsia="Arial" w:hAnsi="Arial"/>
                <w:color w:val="333333"/>
                <w:sz w:val="18"/>
                <w:szCs w:val="18"/>
              </w:rPr>
              <w:t xml:space="preserve">Criticality model extraction (Feature 0)</w:t>
            </w:r>
          </w:p>
        </w:tc>
        <w:tc>
          <w:tcPr>
            <w:tcW w:type="dxa" w:w="468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pPr>
              <w:spacing w:line="252"/>
            </w:pPr>
            <w:r>
              <w:rPr>
                <w:rFonts w:ascii="Arial" w:cs="Arial" w:eastAsia="Arial" w:hAnsi="Arial"/>
                <w:color w:val="333333"/>
                <w:sz w:val="18"/>
                <w:szCs w:val="18"/>
              </w:rPr>
              <w:t xml:space="preserve">2–5 minutes with progress feedback</w:t>
            </w:r>
          </w:p>
        </w:tc>
      </w:tr>
    </w:tbl>
    <w:p>
      <w:pPr>
        <w:spacing w:before="320" w:after="120"/>
      </w:pPr>
      <w:r>
        <w:rPr>
          <w:rFonts w:ascii="Arial" w:cs="Arial" w:eastAsia="Arial" w:hAnsi="Arial"/>
          <w:b/>
          <w:bCs/>
          <w:color w:val="2E6B9E"/>
          <w:sz w:val="24"/>
          <w:szCs w:val="24"/>
        </w:rPr>
        <w:t xml:space="preserve">Accessibility</w:t>
      </w:r>
    </w:p>
    <w:p>
      <w:pPr>
        <w:spacing w:before="60" w:after="60" w:line="276"/>
      </w:pPr>
      <w:r>
        <w:rPr>
          <w:rFonts w:ascii="Arial" w:cs="Arial" w:eastAsia="Arial" w:hAnsi="Arial"/>
          <w:color w:val="333333"/>
          <w:sz w:val="20"/>
          <w:szCs w:val="20"/>
        </w:rPr>
        <w:t xml:space="preserve">The platform is designed to WCAG 2.1 AA compliance. All color-coded indicators (priority badges, evaluability status, trend arrows) include text labels or icon alternatives for color-blind users. The priority system uses shape (numeral + color band) not color alone. Keyboard navigation supports all primary workflows. Screen reader labels are provided for all interactive elements. High contrast mode is available for users who need it.</w:t>
      </w:r>
    </w:p>
    <w:p>
      <w:pPr>
        <w:pBdr>
          <w:bottom w:val="single" w:color="1B3A5C" w:sz="6" w:space="4"/>
        </w:pBdr>
        <w:spacing w:before="400" w:after="160"/>
      </w:pPr>
      <w:r>
        <w:rPr>
          <w:rFonts w:ascii="Arial" w:cs="Arial" w:eastAsia="Arial" w:hAnsi="Arial"/>
          <w:b/>
          <w:bCs/>
          <w:color w:val="1B3A5C"/>
          <w:sz w:val="28"/>
          <w:szCs w:val="28"/>
        </w:rPr>
        <w:t xml:space="preserve">End-to-End Feature Flow: The CRA’s Monitoring Cycle</w:t>
      </w:r>
    </w:p>
    <w:p>
      <w:pPr>
        <w:spacing w:before="60" w:after="60" w:line="276"/>
      </w:pPr>
      <w:r>
        <w:rPr>
          <w:rFonts w:ascii="Arial" w:cs="Arial" w:eastAsia="Arial" w:hAnsi="Arial"/>
          <w:color w:val="333333"/>
          <w:sz w:val="20"/>
          <w:szCs w:val="20"/>
        </w:rPr>
        <w:t xml:space="preserve">The five features form a continuous cycle for the CRA. This section traces one complete monitoring cycle through the platform’s interface, showing how the features connect.</w:t>
      </w:r>
    </w:p>
    <w:p>
      <w:pPr>
        <w:spacing w:before="240" w:after="80"/>
      </w:pPr>
      <w:r>
        <w:rPr>
          <w:rFonts w:ascii="Arial" w:cs="Arial" w:eastAsia="Arial" w:hAnsi="Arial"/>
          <w:b/>
          <w:bCs/>
          <w:color w:val="1B3A5C"/>
          <w:sz w:val="21"/>
          <w:szCs w:val="21"/>
        </w:rPr>
        <w:t xml:space="preserve">Pre-Cycle: Feature 0 (One-Time Setup)</w:t>
      </w:r>
    </w:p>
    <w:p>
      <w:pPr>
        <w:spacing w:before="60" w:after="60" w:line="276"/>
      </w:pPr>
      <w:r>
        <w:rPr>
          <w:rFonts w:ascii="Arial" w:cs="Arial" w:eastAsia="Arial" w:hAnsi="Arial"/>
          <w:color w:val="333333"/>
          <w:sz w:val="20"/>
          <w:szCs w:val="20"/>
        </w:rPr>
        <w:t xml:space="preserve">During study setup, the statistician and medical monitor used the Criticality Model Builder to validate the LLM-generated derivation tree, confirm tier classifications, and approve the model. This happened once (and repeats only on amendment). The approved model now governs all downstream features.</w:t>
      </w:r>
    </w:p>
    <w:p>
      <w:pPr>
        <w:spacing w:before="240" w:after="80"/>
      </w:pPr>
      <w:r>
        <w:rPr>
          <w:rFonts w:ascii="Arial" w:cs="Arial" w:eastAsia="Arial" w:hAnsi="Arial"/>
          <w:b/>
          <w:bCs/>
          <w:color w:val="1B3A5C"/>
          <w:sz w:val="21"/>
          <w:szCs w:val="21"/>
        </w:rPr>
        <w:t xml:space="preserve">Cycle Start: Feature 1 (Automated, Background)</w:t>
      </w:r>
    </w:p>
    <w:p>
      <w:pPr>
        <w:spacing w:before="60" w:after="60" w:line="276"/>
      </w:pPr>
      <w:r>
        <w:rPr>
          <w:rFonts w:ascii="Arial" w:cs="Arial" w:eastAsia="Arial" w:hAnsi="Arial"/>
          <w:color w:val="333333"/>
          <w:sz w:val="20"/>
          <w:szCs w:val="20"/>
        </w:rPr>
        <w:t xml:space="preserve">Data exports arrive. The platform ingests, validates, and processes them. Signal detection runs against the criticality model. Signals are prioritized. Safety signals are routed to the review queue. The CRA sees a notification: “Dossier ready for Site 1042 — Cycle 2024-11.”</w:t>
      </w:r>
    </w:p>
    <w:p>
      <w:pPr>
        <w:spacing w:before="240" w:after="80"/>
      </w:pPr>
      <w:r>
        <w:rPr>
          <w:rFonts w:ascii="Arial" w:cs="Arial" w:eastAsia="Arial" w:hAnsi="Arial"/>
          <w:b/>
          <w:bCs/>
          <w:color w:val="1B3A5C"/>
          <w:sz w:val="21"/>
          <w:szCs w:val="21"/>
        </w:rPr>
        <w:t xml:space="preserve">Visit Preparation: Feature 3 (CRA, 15–30 minutes)</w:t>
      </w:r>
    </w:p>
    <w:p>
      <w:pPr>
        <w:spacing w:before="60" w:after="60" w:line="276"/>
      </w:pPr>
      <w:r>
        <w:rPr>
          <w:rFonts w:ascii="Arial" w:cs="Arial" w:eastAsia="Arial" w:hAnsi="Arial"/>
          <w:color w:val="333333"/>
          <w:sz w:val="20"/>
          <w:szCs w:val="20"/>
        </w:rPr>
        <w:t xml:space="preserve">The CRA opens the Site 1042 dossier. They read the site health context, scan the prioritized signal register (3 P1 signals, 5 P2, 8 P3), check the subject evaluability grid (2 subjects flagged red, 4 amber), and review the recommended visit focus.</w:t>
      </w:r>
    </w:p>
    <w:p>
      <w:pPr>
        <w:spacing w:before="240" w:after="80"/>
      </w:pPr>
      <w:r>
        <w:rPr>
          <w:rFonts w:ascii="Arial" w:cs="Arial" w:eastAsia="Arial" w:hAnsi="Arial"/>
          <w:b/>
          <w:bCs/>
          <w:color w:val="1B3A5C"/>
          <w:sz w:val="21"/>
          <w:szCs w:val="21"/>
        </w:rPr>
        <w:t xml:space="preserve">Deep Dive: Feature 2 (CRA, as needed)</w:t>
      </w:r>
    </w:p>
    <w:p>
      <w:pPr>
        <w:spacing w:before="60" w:after="60" w:line="276"/>
      </w:pPr>
      <w:r>
        <w:rPr>
          <w:rFonts w:ascii="Arial" w:cs="Arial" w:eastAsia="Arial" w:hAnsi="Arial"/>
          <w:color w:val="333333"/>
          <w:sz w:val="20"/>
          <w:szCs w:val="20"/>
        </w:rPr>
        <w:t xml:space="preserve">One P1 signal is puzzling: Subject 058 has a multi-system discrepancy between the EDC tumor response and the imaging vendor report. The CRA clicks “Investigate.” The platform pulls up the imaging vendor’s narrative, connects it to a prior MVR noting radiologist scheduling delays, and traces the consequence through the derivation chain. The CRA now understands the full picture and knows what to ask the coordinator during the visit.</w:t>
      </w:r>
    </w:p>
    <w:p>
      <w:pPr>
        <w:spacing w:before="240" w:after="80"/>
      </w:pPr>
      <w:r>
        <w:rPr>
          <w:rFonts w:ascii="Arial" w:cs="Arial" w:eastAsia="Arial" w:hAnsi="Arial"/>
          <w:b/>
          <w:bCs/>
          <w:color w:val="1B3A5C"/>
          <w:sz w:val="21"/>
          <w:szCs w:val="21"/>
        </w:rPr>
        <w:t xml:space="preserve">On-Site: Visit Execution</w:t>
      </w:r>
    </w:p>
    <w:p>
      <w:pPr>
        <w:spacing w:before="60" w:after="60" w:line="276"/>
      </w:pPr>
      <w:r>
        <w:rPr>
          <w:rFonts w:ascii="Arial" w:cs="Arial" w:eastAsia="Arial" w:hAnsi="Arial"/>
          <w:color w:val="333333"/>
          <w:sz w:val="20"/>
          <w:szCs w:val="20"/>
        </w:rPr>
        <w:t xml:space="preserve">The CRA visits the site with the dossier’s recommended focus as their agenda. They address the P1 signals, verify source documents, discuss process issues with the coordinator, and observe site operations.</w:t>
      </w:r>
    </w:p>
    <w:p>
      <w:pPr>
        <w:spacing w:before="240" w:after="80"/>
      </w:pPr>
      <w:r>
        <w:rPr>
          <w:rFonts w:ascii="Arial" w:cs="Arial" w:eastAsia="Arial" w:hAnsi="Arial"/>
          <w:b/>
          <w:bCs/>
          <w:color w:val="1B3A5C"/>
          <w:sz w:val="21"/>
          <w:szCs w:val="21"/>
        </w:rPr>
        <w:t xml:space="preserve">Post-Visit: Feature 3 (Dispositions, 10–15 minutes)</w:t>
      </w:r>
    </w:p>
    <w:p>
      <w:pPr>
        <w:spacing w:before="60" w:after="60" w:line="276"/>
      </w:pPr>
      <w:r>
        <w:rPr>
          <w:rFonts w:ascii="Arial" w:cs="Arial" w:eastAsia="Arial" w:hAnsi="Arial"/>
          <w:color w:val="333333"/>
          <w:sz w:val="20"/>
          <w:szCs w:val="20"/>
        </w:rPr>
        <w:t xml:space="preserve">Back from the visit, the CRA switches the dossier to Post-Visit mode and records dispositions for each signal. Subject 042’s missing assessment: “Addressed — source document verified, data entry requested.” Subject 058’s discrepancy: “Escalated — imaging vendor confirmed progression, SAE workflow initiated.”</w:t>
      </w:r>
    </w:p>
    <w:p>
      <w:pPr>
        <w:spacing w:before="240" w:after="80"/>
      </w:pPr>
      <w:r>
        <w:rPr>
          <w:rFonts w:ascii="Arial" w:cs="Arial" w:eastAsia="Arial" w:hAnsi="Arial"/>
          <w:b/>
          <w:bCs/>
          <w:color w:val="1B3A5C"/>
          <w:sz w:val="21"/>
          <w:szCs w:val="21"/>
        </w:rPr>
        <w:t xml:space="preserve">Documentation: Feature 4 (CRA, 30–45 minutes)</w:t>
      </w:r>
    </w:p>
    <w:p>
      <w:pPr>
        <w:spacing w:before="60" w:after="60" w:line="276"/>
      </w:pPr>
      <w:r>
        <w:rPr>
          <w:rFonts w:ascii="Arial" w:cs="Arial" w:eastAsia="Arial" w:hAnsi="Arial"/>
          <w:color w:val="333333"/>
          <w:sz w:val="20"/>
          <w:szCs w:val="20"/>
        </w:rPr>
        <w:t xml:space="preserve">The CRA opens the MVR CoPilot. The Data Review section is pre-drafted from the signal dispositions. The Safety Review reflects the AE/SAE reconciliation results. The CRA edits the drafts for accuracy, writes the Site Process and Overall Assessment sections from their on-site observations, finalizes the action item register, and submits.</w:t>
      </w:r>
    </w:p>
    <w:p>
      <w:pPr>
        <w:spacing w:before="240" w:after="80"/>
      </w:pPr>
      <w:r>
        <w:rPr>
          <w:rFonts w:ascii="Arial" w:cs="Arial" w:eastAsia="Arial" w:hAnsi="Arial"/>
          <w:b/>
          <w:bCs/>
          <w:color w:val="1B3A5C"/>
          <w:sz w:val="21"/>
          <w:szCs w:val="21"/>
        </w:rPr>
        <w:t xml:space="preserve">Cycle Close: Feedback Loop</w:t>
      </w:r>
    </w:p>
    <w:p>
      <w:pPr>
        <w:spacing w:before="60" w:after="60" w:line="276"/>
      </w:pPr>
      <w:r>
        <w:rPr>
          <w:rFonts w:ascii="Arial" w:cs="Arial" w:eastAsia="Arial" w:hAnsi="Arial"/>
          <w:color w:val="333333"/>
          <w:sz w:val="20"/>
          <w:szCs w:val="20"/>
        </w:rPr>
        <w:t xml:space="preserve">The submitted MVR is ingested into the platform’s document corpus. When the next cycle’s signal detection runs, Feature 1 has access to the MVR’s narrative context. If the CRA noted “scheduling delays persist despite site discussion” in the Site Process section, Feature 1 can connect future out-of-window signals to this documented context. The cycle begins again — richer, better informed, more precise.</w:t>
      </w:r>
    </w:p>
    <w:p>
      <w:pPr>
        <w:spacing w:before="300"/>
      </w:pPr>
    </w:p>
    <w:p>
      <w:pPr>
        <w:pBdr>
          <w:top w:val="single" w:color="2E6B9E" w:sz="1" w:space="1"/>
          <w:bottom w:val="single" w:color="2E6B9E" w:sz="1" w:space="1"/>
        </w:pBdr>
        <w:shd w:fill="E8F0F8" w:val="clear"/>
        <w:spacing w:before="160" w:after="160"/>
        <w:ind w:left="200" w:right="200"/>
      </w:pPr>
      <w:r>
        <w:rPr>
          <w:rFonts w:ascii="Arial" w:cs="Arial" w:eastAsia="Arial" w:hAnsi="Arial"/>
          <w:i/>
          <w:iCs/>
          <w:color w:val="1B3A5C"/>
          <w:sz w:val="19"/>
          <w:szCs w:val="19"/>
        </w:rPr>
        <w:t xml:space="preserve">The platform’s UX is designed around a single principle: every interaction should make the CRA’s next decision clearer, faster, and better informed. Features are not standalone tools — they are connected stages in a continuous intelligence cycle where human expertise and AI capability reinforce each other.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666666"/>
        <w:sz w:val="16"/>
        <w:szCs w:val="16"/>
      </w:rPr>
      <w:t xml:space="preserve">Confidential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tabs>
        <w:tab w:val="right" w:pos="9026"/>
      </w:tabs>
    </w:pPr>
    <w:r>
      <w:rPr>
        <w:rFonts w:ascii="Arial" w:cs="Arial" w:eastAsia="Arial" w:hAnsi="Arial"/>
        <w:i/>
        <w:iCs/>
        <w:color w:val="666666"/>
        <w:sz w:val="16"/>
        <w:szCs w:val="16"/>
      </w:rPr>
      <w:t xml:space="preserve">UX Design Document</w:t>
    </w:r>
    <w:r>
      <w:rPr>
        <w:rFonts w:ascii="Arial" w:cs="Arial" w:eastAsia="Arial" w:hAnsi="Arial"/>
        <w:i/>
        <w:iCs/>
        <w:color w:val="666666"/>
        <w:sz w:val="16"/>
        <w:szCs w:val="16"/>
      </w:rPr>
      <w:t xml:space="preserve">	Estimand-Driven Monitoring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2026-02-13T22:26:06.413Z</dcterms:created>
  <dcterms:modified xsi:type="dcterms:W3CDTF">2026-02-13T22:26:06.414Z</dcterms:modified>
</cp:coreProperties>
</file>

<file path=docProps/custom.xml><?xml version="1.0" encoding="utf-8"?>
<Properties xmlns="http://schemas.openxmlformats.org/officeDocument/2006/custom-properties" xmlns:vt="http://schemas.openxmlformats.org/officeDocument/2006/docPropsVTypes"/>
</file>