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0000" cy="4016250"/>
            <wp:docPr id="1" name="Picture 1"/>
            <wp:cNvGraphicFramePr>
              <a:graphicFrameLocks noChangeAspect="1"/>
            </wp:cNvGraphicFramePr>
            <a:graphic>
              <a:graphicData uri="http://schemas.openxmlformats.org/drawingml/2006/picture">
                <pic:pic>
                  <pic:nvPicPr>
                    <pic:cNvPr id="0" name="01_封面.png"/>
                    <pic:cNvPicPr/>
                  </pic:nvPicPr>
                  <pic:blipFill>
                    <a:blip r:embed="rId11"/>
                    <a:stretch>
                      <a:fillRect/>
                    </a:stretch>
                  </pic:blipFill>
                  <pic:spPr>
                    <a:xfrm>
                      <a:off x="0" y="0"/>
                      <a:ext cx="6120000" cy="4016250"/>
                    </a:xfrm>
                    <a:prstGeom prst="rect"/>
                  </pic:spPr>
                </pic:pic>
              </a:graphicData>
            </a:graphic>
          </wp:inline>
        </w:drawing>
      </w:r>
    </w:p>
    <w:p>
      <w:pPr>
        <w:spacing w:before="120" w:after="100" w:line="312" w:lineRule="auto"/>
        <w:jc w:val="center"/>
      </w:pPr>
      <w:r>
        <w:rPr>
          <w:rFonts w:ascii="Arial" w:hAnsi="Arial" w:eastAsia="Arial Unicode MS"/>
          <w:b w:val="0"/>
          <w:color w:val="617184"/>
          <w:sz w:val="18"/>
        </w:rPr>
        <w:t>内部培训资料｜请勿包含员工完整身份证号、银行卡号等敏感信息</w:t>
      </w:r>
    </w:p>
    <w:p>
      <w:r>
        <w:br w:type="page"/>
      </w:r>
    </w:p>
    <w:p>
      <w:pPr>
        <w:pStyle w:val="Heading1"/>
        <w:spacing w:before="200" w:after="140"/>
        <w:keepNext/>
      </w:pPr>
      <w:r>
        <w:rPr>
          <w:rFonts w:ascii="Arial" w:hAnsi="Arial" w:eastAsia="Arial Unicode MS"/>
          <w:b/>
          <w:color w:val="071B33"/>
          <w:sz w:val="36"/>
        </w:rPr>
        <w:t>版本信息</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项目</w:t>
            </w:r>
          </w:p>
        </w:tc>
        <w:tc>
          <w:tcPr>
            <w:tcW w:type="dxa" w:w="6917"/>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内容</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系统名称</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优益数字化管理系统</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手册名称</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驻厂专员使用手册</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版本</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V1.0</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发布日期</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2026-08-10</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适用终端</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微信小程序、手机 Web、电脑 Web</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适用角色</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已被企业管理员派遣到客户/项目的驻厂专员</w:t>
            </w:r>
          </w:p>
        </w:tc>
      </w:tr>
    </w:tbl>
    <w:p>
      <w:pPr>
        <w:spacing w:before="0" w:after="60" w:line="312" w:lineRule="auto"/>
      </w:pPr>
    </w:p>
    <w:tbl>
      <w:tblPr>
        <w:tblW w:type="auto" w:w="0"/>
        <w:tblLook w:firstColumn="1" w:firstRow="1" w:lastColumn="0" w:lastRow="0" w:noHBand="0" w:noVBand="1" w:val="04A0"/>
      </w:tblPr>
      <w:tblGrid>
        <w:gridCol w:w="9972"/>
      </w:tblGrid>
      <w:tr>
        <w:tc>
          <w:tcPr>
            <w:tcW w:type="dxa" w:w="9972"/>
            <w:shd w:fill="EAF7FA"/>
            <w:tcMar>
              <w:top w:w="120" w:type="dxa"/>
              <w:start w:w="180" w:type="dxa"/>
              <w:bottom w:w="120" w:type="dxa"/>
              <w:end w:w="180" w:type="dxa"/>
            </w:tcMar>
          </w:tcPr>
          <w:p>
            <w:r>
              <w:rPr>
                <w:rFonts w:ascii="Arial" w:hAnsi="Arial" w:eastAsia="Arial Unicode MS"/>
                <w:b/>
                <w:color w:val="0EA5A8"/>
                <w:sz w:val="21"/>
              </w:rPr>
              <w:t xml:space="preserve">手册说明　</w:t>
            </w:r>
            <w:r>
              <w:rPr>
                <w:rFonts w:ascii="Arial" w:hAnsi="Arial" w:eastAsia="Arial Unicode MS"/>
                <w:b w:val="0"/>
                <w:color w:val="182739"/>
                <w:sz w:val="21"/>
              </w:rPr>
              <w:t>本手册配图为按当前系统功能制作的页面示意图。界面文字或位置随版本更新可能略有变化，以实际系统为准。</w:t>
            </w:r>
          </w:p>
        </w:tc>
      </w:tr>
    </w:tbl>
    <w:p>
      <w:pPr>
        <w:spacing w:before="0" w:after="40" w:line="312" w:lineRule="auto"/>
      </w:pPr>
    </w:p>
    <w:p>
      <w:pPr>
        <w:pStyle w:val="Heading1"/>
        <w:spacing w:before="200" w:after="140"/>
        <w:keepNext/>
      </w:pPr>
      <w:r>
        <w:rPr>
          <w:rFonts w:ascii="Arial" w:hAnsi="Arial" w:eastAsia="Arial Unicode MS"/>
          <w:b/>
          <w:color w:val="071B33"/>
          <w:sz w:val="36"/>
        </w:rPr>
        <w:t>目录</w:t>
      </w:r>
    </w:p>
    <w:p>
      <w:pPr>
        <w:spacing w:before="0" w:after="40" w:line="312" w:lineRule="auto"/>
      </w:pPr>
      <w:r>
        <w:rPr>
          <w:rFonts w:ascii="Arial" w:hAnsi="Arial" w:eastAsia="Arial Unicode MS"/>
          <w:b w:val="0"/>
          <w:color w:val="182739"/>
          <w:sz w:val="21"/>
        </w:rPr>
        <w:t>1. 手册适用对象与工作目标</w:t>
      </w:r>
    </w:p>
    <w:p>
      <w:pPr>
        <w:spacing w:before="0" w:after="40" w:line="312" w:lineRule="auto"/>
      </w:pPr>
      <w:r>
        <w:rPr>
          <w:rFonts w:ascii="Arial" w:hAnsi="Arial" w:eastAsia="Arial Unicode MS"/>
          <w:b w:val="0"/>
          <w:color w:val="182739"/>
          <w:sz w:val="21"/>
        </w:rPr>
        <w:t>2. 驻厂专员权限范围</w:t>
      </w:r>
    </w:p>
    <w:p>
      <w:pPr>
        <w:spacing w:before="0" w:after="40" w:line="312" w:lineRule="auto"/>
      </w:pPr>
      <w:r>
        <w:rPr>
          <w:rFonts w:ascii="Arial" w:hAnsi="Arial" w:eastAsia="Arial Unicode MS"/>
          <w:b w:val="0"/>
          <w:color w:val="182739"/>
          <w:sz w:val="21"/>
        </w:rPr>
        <w:t>3. 登录与首次使用</w:t>
      </w:r>
    </w:p>
    <w:p>
      <w:pPr>
        <w:spacing w:before="0" w:after="40" w:line="312" w:lineRule="auto"/>
      </w:pPr>
      <w:r>
        <w:rPr>
          <w:rFonts w:ascii="Arial" w:hAnsi="Arial" w:eastAsia="Arial Unicode MS"/>
          <w:b w:val="0"/>
          <w:color w:val="182739"/>
          <w:sz w:val="21"/>
        </w:rPr>
        <w:t>4. 驻厂工作台</w:t>
      </w:r>
    </w:p>
    <w:p>
      <w:pPr>
        <w:spacing w:before="0" w:after="40" w:line="312" w:lineRule="auto"/>
      </w:pPr>
      <w:r>
        <w:rPr>
          <w:rFonts w:ascii="Arial" w:hAnsi="Arial" w:eastAsia="Arial Unicode MS"/>
          <w:b w:val="0"/>
          <w:color w:val="182739"/>
          <w:sz w:val="21"/>
        </w:rPr>
        <w:t>5. 查看负责客户与项目</w:t>
      </w:r>
    </w:p>
    <w:p>
      <w:pPr>
        <w:spacing w:before="0" w:after="40" w:line="312" w:lineRule="auto"/>
      </w:pPr>
      <w:r>
        <w:rPr>
          <w:rFonts w:ascii="Arial" w:hAnsi="Arial" w:eastAsia="Arial Unicode MS"/>
          <w:b w:val="0"/>
          <w:color w:val="182739"/>
          <w:sz w:val="21"/>
        </w:rPr>
        <w:t>6. 新增员工</w:t>
      </w:r>
    </w:p>
    <w:p>
      <w:pPr>
        <w:spacing w:before="0" w:after="40" w:line="312" w:lineRule="auto"/>
      </w:pPr>
      <w:r>
        <w:rPr>
          <w:rFonts w:ascii="Arial" w:hAnsi="Arial" w:eastAsia="Arial Unicode MS"/>
          <w:b w:val="0"/>
          <w:color w:val="182739"/>
          <w:sz w:val="21"/>
        </w:rPr>
        <w:t>7. 批量录入员工</w:t>
      </w:r>
    </w:p>
    <w:p>
      <w:pPr>
        <w:spacing w:before="0" w:after="40" w:line="312" w:lineRule="auto"/>
      </w:pPr>
      <w:r>
        <w:rPr>
          <w:rFonts w:ascii="Arial" w:hAnsi="Arial" w:eastAsia="Arial Unicode MS"/>
          <w:b w:val="0"/>
          <w:color w:val="182739"/>
          <w:sz w:val="21"/>
        </w:rPr>
        <w:t>8. 扫描身份证 OCR</w:t>
      </w:r>
    </w:p>
    <w:p>
      <w:pPr>
        <w:spacing w:before="0" w:after="40" w:line="312" w:lineRule="auto"/>
      </w:pPr>
      <w:r>
        <w:rPr>
          <w:rFonts w:ascii="Arial" w:hAnsi="Arial" w:eastAsia="Arial Unicode MS"/>
          <w:b w:val="0"/>
          <w:color w:val="182739"/>
          <w:sz w:val="21"/>
        </w:rPr>
        <w:t>9. 确认员工入职</w:t>
      </w:r>
    </w:p>
    <w:p>
      <w:pPr>
        <w:spacing w:before="0" w:after="40" w:line="312" w:lineRule="auto"/>
      </w:pPr>
      <w:r>
        <w:rPr>
          <w:rFonts w:ascii="Arial" w:hAnsi="Arial" w:eastAsia="Arial Unicode MS"/>
          <w:b w:val="0"/>
          <w:color w:val="182739"/>
          <w:sz w:val="21"/>
        </w:rPr>
        <w:t>10. 在职员工维护与调岗</w:t>
      </w:r>
    </w:p>
    <w:p>
      <w:pPr>
        <w:spacing w:before="0" w:after="40" w:line="312" w:lineRule="auto"/>
      </w:pPr>
      <w:r>
        <w:rPr>
          <w:rFonts w:ascii="Arial" w:hAnsi="Arial" w:eastAsia="Arial Unicode MS"/>
          <w:b w:val="0"/>
          <w:color w:val="182739"/>
          <w:sz w:val="21"/>
        </w:rPr>
        <w:t>11. 劳动合同与雇主险</w:t>
      </w:r>
    </w:p>
    <w:p>
      <w:pPr>
        <w:spacing w:before="0" w:after="40" w:line="312" w:lineRule="auto"/>
      </w:pPr>
      <w:r>
        <w:rPr>
          <w:rFonts w:ascii="Arial" w:hAnsi="Arial" w:eastAsia="Arial Unicode MS"/>
          <w:b w:val="0"/>
          <w:color w:val="182739"/>
          <w:sz w:val="21"/>
        </w:rPr>
        <w:t>12. 驻厂预支登记</w:t>
      </w:r>
    </w:p>
    <w:p>
      <w:pPr>
        <w:spacing w:before="0" w:after="40" w:line="312" w:lineRule="auto"/>
      </w:pPr>
      <w:r>
        <w:rPr>
          <w:rFonts w:ascii="Arial" w:hAnsi="Arial" w:eastAsia="Arial Unicode MS"/>
          <w:b w:val="0"/>
          <w:color w:val="182739"/>
          <w:sz w:val="21"/>
        </w:rPr>
        <w:t>13. 离职管理</w:t>
      </w:r>
    </w:p>
    <w:p>
      <w:pPr>
        <w:spacing w:before="0" w:after="40" w:line="312" w:lineRule="auto"/>
      </w:pPr>
      <w:r>
        <w:rPr>
          <w:rFonts w:ascii="Arial" w:hAnsi="Arial" w:eastAsia="Arial Unicode MS"/>
          <w:b w:val="0"/>
          <w:color w:val="182739"/>
          <w:sz w:val="21"/>
        </w:rPr>
        <w:t>14. 人才库流转</w:t>
      </w:r>
    </w:p>
    <w:p>
      <w:pPr>
        <w:spacing w:before="0" w:after="40" w:line="312" w:lineRule="auto"/>
      </w:pPr>
      <w:r>
        <w:rPr>
          <w:rFonts w:ascii="Arial" w:hAnsi="Arial" w:eastAsia="Arial Unicode MS"/>
          <w:b w:val="0"/>
          <w:color w:val="182739"/>
          <w:sz w:val="21"/>
        </w:rPr>
        <w:t>15. 驻厂待办</w:t>
      </w:r>
    </w:p>
    <w:p>
      <w:pPr>
        <w:spacing w:before="0" w:after="40" w:line="312" w:lineRule="auto"/>
      </w:pPr>
      <w:r>
        <w:rPr>
          <w:rFonts w:ascii="Arial" w:hAnsi="Arial" w:eastAsia="Arial Unicode MS"/>
          <w:b w:val="0"/>
          <w:color w:val="182739"/>
          <w:sz w:val="21"/>
        </w:rPr>
        <w:t>16. 数据权限与保密</w:t>
      </w:r>
    </w:p>
    <w:p>
      <w:pPr>
        <w:spacing w:before="0" w:after="40" w:line="312" w:lineRule="auto"/>
      </w:pPr>
      <w:r>
        <w:rPr>
          <w:rFonts w:ascii="Arial" w:hAnsi="Arial" w:eastAsia="Arial Unicode MS"/>
          <w:b w:val="0"/>
          <w:color w:val="182739"/>
          <w:sz w:val="21"/>
        </w:rPr>
        <w:t>17. 常见问题</w:t>
      </w:r>
    </w:p>
    <w:p>
      <w:pPr>
        <w:spacing w:before="0" w:after="40" w:line="312" w:lineRule="auto"/>
      </w:pPr>
      <w:r>
        <w:rPr>
          <w:rFonts w:ascii="Arial" w:hAnsi="Arial" w:eastAsia="Arial Unicode MS"/>
          <w:b w:val="0"/>
          <w:color w:val="182739"/>
          <w:sz w:val="21"/>
        </w:rPr>
        <w:t>18. 每日工作清单</w:t>
      </w:r>
    </w:p>
    <w:p>
      <w:pPr>
        <w:spacing w:before="0" w:after="40" w:line="312" w:lineRule="auto"/>
      </w:pPr>
      <w:r>
        <w:rPr>
          <w:rFonts w:ascii="Arial" w:hAnsi="Arial" w:eastAsia="Arial Unicode MS"/>
          <w:b w:val="0"/>
          <w:color w:val="182739"/>
          <w:sz w:val="21"/>
        </w:rPr>
        <w:t>附录：状态与字段说明</w:t>
      </w:r>
    </w:p>
    <w:p>
      <w:r>
        <w:br w:type="page"/>
      </w:r>
    </w:p>
    <w:p>
      <w:pPr>
        <w:pStyle w:val="Heading1"/>
        <w:spacing w:before="200" w:after="140"/>
        <w:keepNext/>
      </w:pPr>
      <w:r>
        <w:rPr>
          <w:rFonts w:ascii="Arial" w:hAnsi="Arial" w:eastAsia="Arial Unicode MS"/>
          <w:b/>
          <w:color w:val="071B33"/>
          <w:sz w:val="36"/>
        </w:rPr>
        <w:t>1. 手册适用对象与工作目标</w:t>
      </w:r>
    </w:p>
    <w:p>
      <w:pPr>
        <w:spacing w:before="0" w:after="100" w:line="312" w:lineRule="auto"/>
      </w:pPr>
      <w:r>
        <w:rPr>
          <w:rFonts w:ascii="Arial" w:hAnsi="Arial" w:eastAsia="Arial Unicode MS"/>
          <w:b w:val="0"/>
          <w:color w:val="182739"/>
          <w:sz w:val="21"/>
        </w:rPr>
        <w:t>本手册用于指导驻厂专员通过优益数字化管理系统管理本人负责客户/项目的员工。重点是让人员状态、合同、雇主险、预支和离职记录及时、准确、可追溯。</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工作目标</w:t>
            </w:r>
          </w:p>
        </w:tc>
        <w:tc>
          <w:tcPr>
            <w:tcW w:type="dxa" w:w="6803"/>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驻厂要求</w:t>
            </w:r>
          </w:p>
        </w:tc>
      </w:tr>
      <w:tr>
        <w:tc>
          <w:tcPr>
            <w:tcW w:type="dxa" w:w="238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人员准确</w:t>
            </w:r>
          </w:p>
        </w:tc>
        <w:tc>
          <w:tcPr>
            <w:tcW w:type="dxa" w:w="6803"/>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当天到场、未到场、在职、离职状态当天维护</w:t>
            </w:r>
          </w:p>
        </w:tc>
      </w:tr>
      <w:tr>
        <w:tc>
          <w:tcPr>
            <w:tcW w:type="dxa" w:w="238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合规可控</w:t>
            </w:r>
          </w:p>
        </w:tc>
        <w:tc>
          <w:tcPr>
            <w:tcW w:type="dxa" w:w="6803"/>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新员工入职后及时确认劳动合同和雇主险</w:t>
            </w:r>
          </w:p>
        </w:tc>
      </w:tr>
      <w:tr>
        <w:tc>
          <w:tcPr>
            <w:tcW w:type="dxa" w:w="238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现场留痕</w:t>
            </w:r>
          </w:p>
        </w:tc>
        <w:tc>
          <w:tcPr>
            <w:tcW w:type="dxa" w:w="6803"/>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预支、调岗、离职等事项在系统登记，不只在微信口头沟通</w:t>
            </w:r>
          </w:p>
        </w:tc>
      </w:tr>
      <w:tr>
        <w:tc>
          <w:tcPr>
            <w:tcW w:type="dxa" w:w="238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数据隔离</w:t>
            </w:r>
          </w:p>
        </w:tc>
        <w:tc>
          <w:tcPr>
            <w:tcW w:type="dxa" w:w="6803"/>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只处理本人授权客户/项目，不跨项目查看或导出员工资料</w:t>
            </w:r>
          </w:p>
        </w:tc>
      </w:tr>
    </w:tbl>
    <w:p>
      <w:pPr>
        <w:spacing w:before="0" w:after="60" w:line="312" w:lineRule="auto"/>
      </w:pP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03_员工生命周期流程图.png"/>
                    <pic:cNvPicPr/>
                  </pic:nvPicPr>
                  <pic:blipFill>
                    <a:blip r:embed="rId12"/>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图：驻厂员工全生命周期</w:t>
      </w:r>
    </w:p>
    <w:p>
      <w:pPr>
        <w:pStyle w:val="Heading1"/>
        <w:spacing w:before="200" w:after="140"/>
        <w:keepNext/>
      </w:pPr>
      <w:r>
        <w:rPr>
          <w:rFonts w:ascii="Arial" w:hAnsi="Arial" w:eastAsia="Arial Unicode MS"/>
          <w:b/>
          <w:color w:val="071B33"/>
          <w:sz w:val="36"/>
        </w:rPr>
        <w:t>2. 驻厂专员权限范围</w:t>
      </w:r>
    </w:p>
    <w:p>
      <w:pPr>
        <w:spacing w:before="0" w:after="100" w:line="312" w:lineRule="auto"/>
      </w:pPr>
      <w:r>
        <w:rPr>
          <w:rFonts w:ascii="Arial" w:hAnsi="Arial" w:eastAsia="Arial Unicode MS"/>
          <w:b w:val="0"/>
          <w:color w:val="182739"/>
          <w:sz w:val="21"/>
        </w:rPr>
        <w:t>驻厂专员的数据范围由企业管理员配置。管理员在客户项目卡片中点击“派遣驻厂”，选择驻厂专员后，系统才会授予对应项目数据。</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02_驻厂权限关系图.png"/>
                    <pic:cNvPicPr/>
                  </pic:nvPicPr>
                  <pic:blipFill>
                    <a:blip r:embed="rId13"/>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图：企业管理员派遣与驻厂数据权限关系</w:t>
      </w:r>
    </w:p>
    <w:p>
      <w:pPr>
        <w:pStyle w:val="Heading2"/>
        <w:spacing w:before="140" w:after="140"/>
        <w:keepNext/>
      </w:pPr>
      <w:r>
        <w:rPr>
          <w:rFonts w:ascii="Arial" w:hAnsi="Arial" w:eastAsia="Arial Unicode MS"/>
          <w:b/>
          <w:color w:val="0B2948"/>
          <w:sz w:val="27"/>
        </w:rPr>
        <w:t>2.1 可以操作</w:t>
      </w:r>
    </w:p>
    <w:p>
      <w:pPr>
        <w:pStyle w:val="ListBullet"/>
        <w:spacing w:after="60" w:line="300" w:lineRule="auto"/>
      </w:pPr>
      <w:r>
        <w:rPr>
          <w:rFonts w:ascii="Arial" w:hAnsi="Arial" w:eastAsia="Arial Unicode MS"/>
          <w:b w:val="0"/>
          <w:color w:val="182739"/>
          <w:sz w:val="21"/>
        </w:rPr>
        <w:t>查看本人负责客户/项目及其员工。</w:t>
      </w:r>
    </w:p>
    <w:p>
      <w:pPr>
        <w:pStyle w:val="ListBullet"/>
        <w:spacing w:after="60" w:line="300" w:lineRule="auto"/>
      </w:pPr>
      <w:r>
        <w:rPr>
          <w:rFonts w:ascii="Arial" w:hAnsi="Arial" w:eastAsia="Arial Unicode MS"/>
          <w:b w:val="0"/>
          <w:color w:val="182739"/>
          <w:sz w:val="21"/>
        </w:rPr>
        <w:t>新增员工、批量录入员工、编辑本人项目员工。</w:t>
      </w:r>
    </w:p>
    <w:p>
      <w:pPr>
        <w:pStyle w:val="ListBullet"/>
        <w:spacing w:after="60" w:line="300" w:lineRule="auto"/>
      </w:pPr>
      <w:r>
        <w:rPr>
          <w:rFonts w:ascii="Arial" w:hAnsi="Arial" w:eastAsia="Arial Unicode MS"/>
          <w:b w:val="0"/>
          <w:color w:val="182739"/>
          <w:sz w:val="21"/>
        </w:rPr>
        <w:t>确认入职、调岗、办理离职。</w:t>
      </w:r>
    </w:p>
    <w:p>
      <w:pPr>
        <w:pStyle w:val="ListBullet"/>
        <w:spacing w:after="60" w:line="300" w:lineRule="auto"/>
      </w:pPr>
      <w:r>
        <w:rPr>
          <w:rFonts w:ascii="Arial" w:hAnsi="Arial" w:eastAsia="Arial Unicode MS"/>
          <w:b w:val="0"/>
          <w:color w:val="182739"/>
          <w:sz w:val="21"/>
        </w:rPr>
        <w:t>登记劳动合同、办理雇主险增保或减保。</w:t>
      </w:r>
    </w:p>
    <w:p>
      <w:pPr>
        <w:pStyle w:val="ListBullet"/>
        <w:spacing w:after="60" w:line="300" w:lineRule="auto"/>
      </w:pPr>
      <w:r>
        <w:rPr>
          <w:rFonts w:ascii="Arial" w:hAnsi="Arial" w:eastAsia="Arial Unicode MS"/>
          <w:b w:val="0"/>
          <w:color w:val="182739"/>
          <w:sz w:val="21"/>
        </w:rPr>
        <w:t>登记现场预支，查看本人范围内的预支台账。</w:t>
      </w:r>
    </w:p>
    <w:p>
      <w:pPr>
        <w:pStyle w:val="ListBullet"/>
        <w:spacing w:after="60" w:line="300" w:lineRule="auto"/>
      </w:pPr>
      <w:r>
        <w:rPr>
          <w:rFonts w:ascii="Arial" w:hAnsi="Arial" w:eastAsia="Arial Unicode MS"/>
          <w:b w:val="0"/>
          <w:color w:val="182739"/>
          <w:sz w:val="21"/>
        </w:rPr>
        <w:t>查看驻厂待办、项目人员状态和合规事项。</w:t>
      </w:r>
    </w:p>
    <w:p>
      <w:pPr>
        <w:pStyle w:val="Heading2"/>
        <w:spacing w:before="140" w:after="140"/>
        <w:keepNext/>
      </w:pPr>
      <w:r>
        <w:rPr>
          <w:rFonts w:ascii="Arial" w:hAnsi="Arial" w:eastAsia="Arial Unicode MS"/>
          <w:b/>
          <w:color w:val="0B2948"/>
          <w:sz w:val="27"/>
        </w:rPr>
        <w:t>2.2 不可以操作</w:t>
      </w:r>
    </w:p>
    <w:p>
      <w:pPr>
        <w:pStyle w:val="ListBullet"/>
        <w:spacing w:after="60" w:line="300" w:lineRule="auto"/>
      </w:pPr>
      <w:r>
        <w:rPr>
          <w:rFonts w:ascii="Arial" w:hAnsi="Arial" w:eastAsia="Arial Unicode MS"/>
          <w:b w:val="0"/>
          <w:color w:val="182739"/>
          <w:sz w:val="21"/>
        </w:rPr>
        <w:t>查看未授权客户/项目的员工。</w:t>
      </w:r>
    </w:p>
    <w:p>
      <w:pPr>
        <w:pStyle w:val="ListBullet"/>
        <w:spacing w:after="60" w:line="300" w:lineRule="auto"/>
      </w:pPr>
      <w:r>
        <w:rPr>
          <w:rFonts w:ascii="Arial" w:hAnsi="Arial" w:eastAsia="Arial Unicode MS"/>
          <w:b w:val="0"/>
          <w:color w:val="182739"/>
          <w:sz w:val="21"/>
        </w:rPr>
        <w:t>修改其他驻厂专员负责项目的数据。</w:t>
      </w:r>
    </w:p>
    <w:p>
      <w:pPr>
        <w:pStyle w:val="ListBullet"/>
        <w:spacing w:after="60" w:line="300" w:lineRule="auto"/>
      </w:pPr>
      <w:r>
        <w:rPr>
          <w:rFonts w:ascii="Arial" w:hAnsi="Arial" w:eastAsia="Arial Unicode MS"/>
          <w:b w:val="0"/>
          <w:color w:val="182739"/>
          <w:sz w:val="21"/>
        </w:rPr>
        <w:t>绕过黑名单拦截录入员工。</w:t>
      </w:r>
    </w:p>
    <w:p>
      <w:pPr>
        <w:pStyle w:val="ListBullet"/>
        <w:spacing w:after="60" w:line="300" w:lineRule="auto"/>
      </w:pPr>
      <w:r>
        <w:rPr>
          <w:rFonts w:ascii="Arial" w:hAnsi="Arial" w:eastAsia="Arial Unicode MS"/>
          <w:b w:val="0"/>
          <w:color w:val="182739"/>
          <w:sz w:val="21"/>
        </w:rPr>
        <w:t>擅自扩大账号权限或为自己增加项目。</w:t>
      </w:r>
    </w:p>
    <w:p>
      <w:pPr>
        <w:pStyle w:val="ListBullet"/>
        <w:spacing w:after="60" w:line="300" w:lineRule="auto"/>
      </w:pPr>
      <w:r>
        <w:rPr>
          <w:rFonts w:ascii="Arial" w:hAnsi="Arial" w:eastAsia="Arial Unicode MS"/>
          <w:b w:val="0"/>
          <w:color w:val="182739"/>
          <w:sz w:val="21"/>
        </w:rPr>
        <w:t>在群聊、朋友圈或私人设备传播员工身份证、银行卡、工资等信息。</w:t>
      </w:r>
    </w:p>
    <w:tbl>
      <w:tblPr>
        <w:tblW w:type="auto" w:w="0"/>
        <w:tblLook w:firstColumn="1" w:firstRow="1" w:lastColumn="0" w:lastRow="0" w:noHBand="0" w:noVBand="1" w:val="04A0"/>
      </w:tblPr>
      <w:tblGrid>
        <w:gridCol w:w="9972"/>
      </w:tblGrid>
      <w:tr>
        <w:tc>
          <w:tcPr>
            <w:tcW w:type="dxa" w:w="9972"/>
            <w:shd w:fill="FFF7E7"/>
            <w:tcMar>
              <w:top w:w="120" w:type="dxa"/>
              <w:start w:w="180" w:type="dxa"/>
              <w:bottom w:w="120" w:type="dxa"/>
              <w:end w:w="180" w:type="dxa"/>
            </w:tcMar>
          </w:tcPr>
          <w:p>
            <w:r>
              <w:rPr>
                <w:rFonts w:ascii="Arial" w:hAnsi="Arial" w:eastAsia="Arial Unicode MS"/>
                <w:b/>
                <w:color w:val="F59E0B"/>
                <w:sz w:val="21"/>
              </w:rPr>
              <w:t xml:space="preserve">看不到客户怎么办　</w:t>
            </w:r>
            <w:r>
              <w:rPr>
                <w:rFonts w:ascii="Arial" w:hAnsi="Arial" w:eastAsia="Arial Unicode MS"/>
                <w:b w:val="0"/>
                <w:color w:val="182739"/>
                <w:sz w:val="21"/>
              </w:rPr>
              <w:t>先确认企业管理员是否已在项目卡点击“派遣驻厂”并选择你的账号。重新登录后仍看不到，再联系企业管理员检查账号状态和项目授权。</w:t>
            </w:r>
          </w:p>
        </w:tc>
      </w:tr>
    </w:tbl>
    <w:p>
      <w:pPr>
        <w:spacing w:before="0" w:after="40" w:line="312" w:lineRule="auto"/>
      </w:pPr>
    </w:p>
    <w:p>
      <w:pPr>
        <w:pStyle w:val="Heading1"/>
        <w:spacing w:before="200" w:after="140"/>
        <w:keepNext/>
      </w:pPr>
      <w:r>
        <w:rPr>
          <w:rFonts w:ascii="Arial" w:hAnsi="Arial" w:eastAsia="Arial Unicode MS"/>
          <w:b/>
          <w:color w:val="071B33"/>
          <w:sz w:val="36"/>
        </w:rPr>
        <w:t>3. 登录与首次使用</w:t>
      </w:r>
    </w:p>
    <w:p>
      <w:pPr>
        <w:pStyle w:val="Heading2"/>
        <w:spacing w:before="140" w:after="140"/>
        <w:keepNext/>
      </w:pPr>
      <w:r>
        <w:rPr>
          <w:rFonts w:ascii="Arial" w:hAnsi="Arial" w:eastAsia="Arial Unicode MS"/>
          <w:b/>
          <w:color w:val="0B2948"/>
          <w:sz w:val="27"/>
        </w:rPr>
        <w:t>3.1 微信小程序登录</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打开微信，进入“优益数字化管理系统”小程序。</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输入企业分配的账号和密码，点击登录。</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首次登录后进入“我的”，确认姓名、角色显示为驻厂专员。</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进入“驻厂”页，检查是否能看到本人负责客户和项目。</w:t>
            </w:r>
          </w:p>
        </w:tc>
      </w:tr>
    </w:tbl>
    <w:p>
      <w:pPr>
        <w:spacing w:before="0" w:after="40" w:line="312" w:lineRule="auto"/>
      </w:pPr>
    </w:p>
    <w:p>
      <w:pPr>
        <w:pStyle w:val="Heading2"/>
        <w:spacing w:before="140" w:after="140"/>
        <w:keepNext/>
      </w:pPr>
      <w:r>
        <w:rPr>
          <w:rFonts w:ascii="Arial" w:hAnsi="Arial" w:eastAsia="Arial Unicode MS"/>
          <w:b/>
          <w:color w:val="0B2948"/>
          <w:sz w:val="27"/>
        </w:rPr>
        <w:t>3.2 网页端登录</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在手机或电脑浏览器打开公司提供的系统网址。</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输入驻厂账号和密码，点击登录。</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进入办公中心或员工花名册，核对客户/项目范围。</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FFF0F0"/>
            <w:tcMar>
              <w:top w:w="120" w:type="dxa"/>
              <w:start w:w="180" w:type="dxa"/>
              <w:bottom w:w="120" w:type="dxa"/>
              <w:end w:w="180" w:type="dxa"/>
            </w:tcMar>
          </w:tcPr>
          <w:p>
            <w:r>
              <w:rPr>
                <w:rFonts w:ascii="Arial" w:hAnsi="Arial" w:eastAsia="Arial Unicode MS"/>
                <w:b/>
                <w:color w:val="DC4C4C"/>
                <w:sz w:val="21"/>
              </w:rPr>
              <w:t xml:space="preserve">账号安全　</w:t>
            </w:r>
            <w:r>
              <w:rPr>
                <w:rFonts w:ascii="Arial" w:hAnsi="Arial" w:eastAsia="Arial Unicode MS"/>
                <w:b w:val="0"/>
                <w:color w:val="182739"/>
                <w:sz w:val="21"/>
              </w:rPr>
              <w:t>不要共用账号，不要把验证码、密码或登录 Token 转发给他人；离开电脑时退出登录。</w:t>
            </w:r>
          </w:p>
        </w:tc>
      </w:tr>
    </w:tbl>
    <w:p>
      <w:pPr>
        <w:spacing w:before="0" w:after="40" w:line="312" w:lineRule="auto"/>
      </w:pPr>
    </w:p>
    <w:p>
      <w:pPr>
        <w:pStyle w:val="Heading1"/>
        <w:spacing w:before="200" w:after="140"/>
        <w:keepNext/>
      </w:pPr>
      <w:r>
        <w:rPr>
          <w:rFonts w:ascii="Arial" w:hAnsi="Arial" w:eastAsia="Arial Unicode MS"/>
          <w:b/>
          <w:color w:val="071B33"/>
          <w:sz w:val="36"/>
        </w:rPr>
        <w:t>4. 驻厂工作台</w:t>
      </w:r>
    </w:p>
    <w:p>
      <w:pPr>
        <w:spacing w:before="0" w:after="100" w:line="312" w:lineRule="auto"/>
      </w:pPr>
      <w:r>
        <w:rPr>
          <w:rFonts w:ascii="Arial" w:hAnsi="Arial" w:eastAsia="Arial Unicode MS"/>
          <w:b w:val="0"/>
          <w:color w:val="182739"/>
          <w:sz w:val="21"/>
        </w:rPr>
        <w:t>工作台是驻厂专员每天的第一入口，汇总在职人数、在营项目、未结预支、合规待办和员工生命周期入口。</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04_小程序驻厂工作台示意.png"/>
                    <pic:cNvPicPr/>
                  </pic:nvPicPr>
                  <pic:blipFill>
                    <a:blip r:embed="rId14"/>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图：小程序驻厂工作台页面示意</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区域</w:t>
            </w:r>
          </w:p>
        </w:tc>
        <w:tc>
          <w:tcPr>
            <w:tcW w:type="dxa" w:w="3402"/>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用途</w:t>
            </w:r>
          </w:p>
        </w:tc>
        <w:tc>
          <w:tcPr>
            <w:tcW w:type="dxa" w:w="3855"/>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建议动作</w:t>
            </w:r>
          </w:p>
        </w:tc>
      </w:tr>
      <w:tr>
        <w:tc>
          <w:tcPr>
            <w:tcW w:type="dxa" w:w="192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核心指标</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在职人员、在营项目、未结预支</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发现数量异常时进入对应列表核对</w:t>
            </w:r>
          </w:p>
        </w:tc>
      </w:tr>
      <w:tr>
        <w:tc>
          <w:tcPr>
            <w:tcW w:type="dxa" w:w="192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驻厂人员管理</w:t>
            </w:r>
          </w:p>
        </w:tc>
        <w:tc>
          <w:tcPr>
            <w:tcW w:type="dxa" w:w="340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录入、待入职、在职、离职交接</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按员工当前阶段处理</w:t>
            </w:r>
          </w:p>
        </w:tc>
      </w:tr>
      <w:tr>
        <w:tc>
          <w:tcPr>
            <w:tcW w:type="dxa" w:w="192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驻厂处理队列</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合同、雇主险、转岗、离职事项</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优先处理红色/逾期待办</w:t>
            </w:r>
          </w:p>
        </w:tc>
      </w:tr>
      <w:tr>
        <w:tc>
          <w:tcPr>
            <w:tcW w:type="dxa" w:w="192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现场快捷处理</w:t>
            </w:r>
          </w:p>
        </w:tc>
        <w:tc>
          <w:tcPr>
            <w:tcW w:type="dxa" w:w="340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新增员工、我的员工、招聘渠道、预支</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高频操作直接进入</w:t>
            </w:r>
          </w:p>
        </w:tc>
      </w:tr>
    </w:tbl>
    <w:p>
      <w:pPr>
        <w:spacing w:before="0" w:after="60" w:line="312" w:lineRule="auto"/>
      </w:pPr>
    </w:p>
    <w:p>
      <w:pPr>
        <w:pStyle w:val="Heading1"/>
        <w:spacing w:before="200" w:after="140"/>
        <w:keepNext/>
      </w:pPr>
      <w:r>
        <w:rPr>
          <w:rFonts w:ascii="Arial" w:hAnsi="Arial" w:eastAsia="Arial Unicode MS"/>
          <w:b/>
          <w:color w:val="071B33"/>
          <w:sz w:val="36"/>
        </w:rPr>
        <w:t>5. 查看负责客户与项目</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在小程序底部点击“驻厂”。</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顶部客户分类中选择客户单位；列表仅显示授权范围。</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查看客户下待入职、未入职、在职、离职中和雇主险待增人数。</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再按人员状态、招聘渠道或雇主险状态筛选。</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点击员工卡片进入详情，查看和处理个人事项。</w:t>
            </w:r>
          </w:p>
        </w:tc>
      </w:tr>
    </w:tbl>
    <w:p>
      <w:pPr>
        <w:spacing w:before="0" w:after="40" w:line="312" w:lineRule="auto"/>
      </w:pP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05_小程序员工分类管理示意.png"/>
                    <pic:cNvPicPr/>
                  </pic:nvPicPr>
                  <pic:blipFill>
                    <a:blip r:embed="rId15"/>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图：员工按客户、状态和雇主险分类管理</w:t>
      </w:r>
    </w:p>
    <w:tbl>
      <w:tblPr>
        <w:tblW w:type="auto" w:w="0"/>
        <w:tblLook w:firstColumn="1" w:firstRow="1" w:lastColumn="0" w:lastRow="0" w:noHBand="0" w:noVBand="1" w:val="04A0"/>
      </w:tblPr>
      <w:tblGrid>
        <w:gridCol w:w="9972"/>
      </w:tblGrid>
      <w:tr>
        <w:tc>
          <w:tcPr>
            <w:tcW w:type="dxa" w:w="9972"/>
            <w:shd w:fill="FFF7E7"/>
            <w:tcMar>
              <w:top w:w="120" w:type="dxa"/>
              <w:start w:w="180" w:type="dxa"/>
              <w:bottom w:w="120" w:type="dxa"/>
              <w:end w:w="180" w:type="dxa"/>
            </w:tcMar>
          </w:tcPr>
          <w:p>
            <w:r>
              <w:rPr>
                <w:rFonts w:ascii="Arial" w:hAnsi="Arial" w:eastAsia="Arial Unicode MS"/>
                <w:b/>
                <w:color w:val="F59E0B"/>
                <w:sz w:val="21"/>
              </w:rPr>
              <w:t xml:space="preserve">项目关联规则　</w:t>
            </w:r>
            <w:r>
              <w:rPr>
                <w:rFonts w:ascii="Arial" w:hAnsi="Arial" w:eastAsia="Arial Unicode MS"/>
                <w:b w:val="0"/>
                <w:color w:val="182739"/>
                <w:sz w:val="21"/>
              </w:rPr>
              <w:t>员工必须关联正确客户和项目。驻厂专员只能在本人授权范围内选择项目；若项目为空，先联系企业管理员检查客户项目和派遣配置。</w:t>
            </w:r>
          </w:p>
        </w:tc>
      </w:tr>
    </w:tbl>
    <w:p>
      <w:pPr>
        <w:spacing w:before="0" w:after="40" w:line="312" w:lineRule="auto"/>
      </w:pPr>
    </w:p>
    <w:p>
      <w:pPr>
        <w:pStyle w:val="Heading1"/>
        <w:spacing w:before="200" w:after="140"/>
        <w:keepNext/>
      </w:pPr>
      <w:r>
        <w:rPr>
          <w:rFonts w:ascii="Arial" w:hAnsi="Arial" w:eastAsia="Arial Unicode MS"/>
          <w:b/>
          <w:color w:val="071B33"/>
          <w:sz w:val="36"/>
        </w:rPr>
        <w:t>6. 新增员工</w:t>
      </w:r>
    </w:p>
    <w:p>
      <w:pPr>
        <w:spacing w:before="0" w:after="100" w:line="312" w:lineRule="auto"/>
      </w:pPr>
      <w:r>
        <w:rPr>
          <w:rFonts w:ascii="Arial" w:hAnsi="Arial" w:eastAsia="Arial Unicode MS"/>
          <w:b w:val="0"/>
          <w:color w:val="182739"/>
          <w:sz w:val="21"/>
        </w:rPr>
        <w:t>适用于新员工到场前预录入或现场报到。员工默认保存为“待入职”，确认实际到岗后再执行“确认入职”。</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06_新增员工操作流程.png"/>
                    <pic:cNvPicPr/>
                  </pic:nvPicPr>
                  <pic:blipFill>
                    <a:blip r:embed="rId16"/>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图：新增员工录入流程</w:t>
      </w:r>
    </w:p>
    <w:p>
      <w:pPr>
        <w:pStyle w:val="Heading2"/>
        <w:spacing w:before="140" w:after="140"/>
        <w:keepNext/>
      </w:pPr>
      <w:r>
        <w:rPr>
          <w:rFonts w:ascii="Arial" w:hAnsi="Arial" w:eastAsia="Arial Unicode MS"/>
          <w:b/>
          <w:color w:val="0B2948"/>
          <w:sz w:val="27"/>
        </w:rPr>
        <w:t>6.1 操作步骤</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工作台点击“录入新员工”，或驻厂人员管理右上角点击“录入员工”。</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选择扫描身份证或手工填写姓名、身份证号、手机号。</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选择客户单位和所属项目。只可选择本人负责范围。</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选择岗位。岗位列表第一项为“普工”，也可选择装配工、操作工、质检员、仓管员、文员等。</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填写用工模式；费用模式不设默认值，按实际合作约定填写。</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6</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填写招聘渠道。招聘渠道可关联渠道商/供应商，不再分别填写招聘类型和招聘人。</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7</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录入状态选择“待入职”“直接入职”或“未入职”。一般现场预录选择“待入职”。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8</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核对无误后保存。系统会校验重复身份证、手机号和全公司黑名单。</w:t>
            </w:r>
          </w:p>
        </w:tc>
      </w:tr>
    </w:tbl>
    <w:p>
      <w:pPr>
        <w:spacing w:before="0" w:after="40" w:line="312" w:lineRule="auto"/>
      </w:pPr>
    </w:p>
    <w:p>
      <w:pPr>
        <w:pStyle w:val="Heading2"/>
        <w:spacing w:before="140" w:after="140"/>
        <w:keepNext/>
      </w:pPr>
      <w:r>
        <w:rPr>
          <w:rFonts w:ascii="Arial" w:hAnsi="Arial" w:eastAsia="Arial Unicode MS"/>
          <w:b/>
          <w:color w:val="0B2948"/>
          <w:sz w:val="27"/>
        </w:rPr>
        <w:t>6.2 必填及关键字段</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7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字段</w:t>
            </w:r>
          </w:p>
        </w:tc>
        <w:tc>
          <w:tcPr>
            <w:tcW w:type="dxa" w:w="4706"/>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填写规则</w:t>
            </w:r>
          </w:p>
        </w:tc>
        <w:tc>
          <w:tcPr>
            <w:tcW w:type="dxa" w:w="260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示例</w:t>
            </w:r>
          </w:p>
        </w:tc>
      </w:tr>
      <w:tr>
        <w:tc>
          <w:tcPr>
            <w:tcW w:type="dxa" w:w="187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姓名</w:t>
            </w:r>
          </w:p>
        </w:tc>
        <w:tc>
          <w:tcPr>
            <w:tcW w:type="dxa" w:w="4706"/>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与身份证一致</w:t>
            </w:r>
          </w:p>
        </w:tc>
        <w:tc>
          <w:tcPr>
            <w:tcW w:type="dxa" w:w="260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张强</w:t>
            </w:r>
          </w:p>
        </w:tc>
      </w:tr>
      <w:tr>
        <w:tc>
          <w:tcPr>
            <w:tcW w:type="dxa" w:w="187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身份证号码</w:t>
            </w:r>
          </w:p>
        </w:tc>
        <w:tc>
          <w:tcPr>
            <w:tcW w:type="dxa" w:w="4706"/>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18位；不得截图外传</w:t>
            </w:r>
          </w:p>
        </w:tc>
        <w:tc>
          <w:tcPr>
            <w:tcW w:type="dxa" w:w="260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系统录入后脱敏显示</w:t>
            </w:r>
          </w:p>
        </w:tc>
      </w:tr>
      <w:tr>
        <w:tc>
          <w:tcPr>
            <w:tcW w:type="dxa" w:w="187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手机号</w:t>
            </w:r>
          </w:p>
        </w:tc>
        <w:tc>
          <w:tcPr>
            <w:tcW w:type="dxa" w:w="4706"/>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员工本人常用号码</w:t>
            </w:r>
          </w:p>
        </w:tc>
        <w:tc>
          <w:tcPr>
            <w:tcW w:type="dxa" w:w="260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138****8000</w:t>
            </w:r>
          </w:p>
        </w:tc>
      </w:tr>
      <w:tr>
        <w:tc>
          <w:tcPr>
            <w:tcW w:type="dxa" w:w="187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客户单位/项目</w:t>
            </w:r>
          </w:p>
        </w:tc>
        <w:tc>
          <w:tcPr>
            <w:tcW w:type="dxa" w:w="4706"/>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必须选择实际到岗单位和项目</w:t>
            </w:r>
          </w:p>
        </w:tc>
        <w:tc>
          <w:tcPr>
            <w:tcW w:type="dxa" w:w="260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常州精工制造/一厂项目</w:t>
            </w:r>
          </w:p>
        </w:tc>
      </w:tr>
      <w:tr>
        <w:tc>
          <w:tcPr>
            <w:tcW w:type="dxa" w:w="187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岗位</w:t>
            </w:r>
          </w:p>
        </w:tc>
        <w:tc>
          <w:tcPr>
            <w:tcW w:type="dxa" w:w="4706"/>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按实际岗位；普工排在第一位</w:t>
            </w:r>
          </w:p>
        </w:tc>
        <w:tc>
          <w:tcPr>
            <w:tcW w:type="dxa" w:w="260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普工</w:t>
            </w:r>
          </w:p>
        </w:tc>
      </w:tr>
      <w:tr>
        <w:tc>
          <w:tcPr>
            <w:tcW w:type="dxa" w:w="187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用工模式</w:t>
            </w:r>
          </w:p>
        </w:tc>
        <w:tc>
          <w:tcPr>
            <w:tcW w:type="dxa" w:w="4706"/>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按项目合同选择</w:t>
            </w:r>
          </w:p>
        </w:tc>
        <w:tc>
          <w:tcPr>
            <w:tcW w:type="dxa" w:w="260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派遣/外包/灵活用工</w:t>
            </w:r>
          </w:p>
        </w:tc>
      </w:tr>
      <w:tr>
        <w:tc>
          <w:tcPr>
            <w:tcW w:type="dxa" w:w="187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费用模式</w:t>
            </w:r>
          </w:p>
        </w:tc>
        <w:tc>
          <w:tcPr>
            <w:tcW w:type="dxa" w:w="4706"/>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空白自行填写，不自动默认</w:t>
            </w:r>
          </w:p>
        </w:tc>
        <w:tc>
          <w:tcPr>
            <w:tcW w:type="dxa" w:w="260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管理费600元/月</w:t>
            </w:r>
          </w:p>
        </w:tc>
      </w:tr>
      <w:tr>
        <w:tc>
          <w:tcPr>
            <w:tcW w:type="dxa" w:w="187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招聘渠道</w:t>
            </w:r>
          </w:p>
        </w:tc>
        <w:tc>
          <w:tcPr>
            <w:tcW w:type="dxa" w:w="4706"/>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填写并关联渠道商/供应商</w:t>
            </w:r>
          </w:p>
        </w:tc>
        <w:tc>
          <w:tcPr>
            <w:tcW w:type="dxa" w:w="260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XX人力供应商</w:t>
            </w:r>
          </w:p>
        </w:tc>
      </w:tr>
      <w:tr>
        <w:tc>
          <w:tcPr>
            <w:tcW w:type="dxa" w:w="187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录入状态</w:t>
            </w:r>
          </w:p>
        </w:tc>
        <w:tc>
          <w:tcPr>
            <w:tcW w:type="dxa" w:w="4706"/>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待入职/直接入职/未入职</w:t>
            </w:r>
          </w:p>
        </w:tc>
        <w:tc>
          <w:tcPr>
            <w:tcW w:type="dxa" w:w="260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待入职</w:t>
            </w:r>
          </w:p>
        </w:tc>
      </w:tr>
    </w:tbl>
    <w:p>
      <w:pPr>
        <w:spacing w:before="0" w:after="60" w:line="312" w:lineRule="auto"/>
      </w:pPr>
    </w:p>
    <w:p>
      <w:pPr>
        <w:pStyle w:val="Heading1"/>
        <w:spacing w:before="200" w:after="140"/>
        <w:keepNext/>
      </w:pPr>
      <w:r>
        <w:rPr>
          <w:rFonts w:ascii="Arial" w:hAnsi="Arial" w:eastAsia="Arial Unicode MS"/>
          <w:b/>
          <w:color w:val="071B33"/>
          <w:sz w:val="36"/>
        </w:rPr>
        <w:t>7. 批量录入员工</w:t>
      </w:r>
    </w:p>
    <w:p>
      <w:pPr>
        <w:spacing w:before="0" w:after="100" w:line="312" w:lineRule="auto"/>
      </w:pPr>
      <w:r>
        <w:rPr>
          <w:rFonts w:ascii="Arial" w:hAnsi="Arial" w:eastAsia="Arial Unicode MS"/>
          <w:b w:val="0"/>
          <w:color w:val="182739"/>
          <w:sz w:val="21"/>
        </w:rPr>
        <w:t>适合集中到岗或从 Excel 名单导入。单次最多 200 人。</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网页端进入员工花名册，点击“批量录入”。</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下载 CSV 或 XLSX 模板，不要修改表头名称和列顺序。</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填写员工信息；用工模式、费用模式必填。费用模式按实际填写。</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录入状态可填待入职、直接入职、未入职；留空默认待入职。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上传文件，或将 Excel 内容复制到粘贴区域。</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6</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执行导入后查看成功和失败数量；失败行按提示修正后单独重传。</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FFF7E7"/>
            <w:tcMar>
              <w:top w:w="120" w:type="dxa"/>
              <w:start w:w="180" w:type="dxa"/>
              <w:bottom w:w="120" w:type="dxa"/>
              <w:end w:w="180" w:type="dxa"/>
            </w:tcMar>
          </w:tcPr>
          <w:p>
            <w:r>
              <w:rPr>
                <w:rFonts w:ascii="Arial" w:hAnsi="Arial" w:eastAsia="Arial Unicode MS"/>
                <w:b/>
                <w:color w:val="F59E0B"/>
                <w:sz w:val="21"/>
              </w:rPr>
              <w:t xml:space="preserve">导入前检查　</w:t>
            </w:r>
            <w:r>
              <w:rPr>
                <w:rFonts w:ascii="Arial" w:hAnsi="Arial" w:eastAsia="Arial Unicode MS"/>
                <w:b w:val="0"/>
                <w:color w:val="182739"/>
                <w:sz w:val="21"/>
              </w:rPr>
              <w:t>客户单位、项目、岗位和招聘渠道应使用系统现有或允许的名称；同一身份证、手机号重复或命中黑名单会导入失败。</w:t>
            </w:r>
          </w:p>
        </w:tc>
      </w:tr>
    </w:tbl>
    <w:p>
      <w:pPr>
        <w:spacing w:before="0" w:after="40" w:line="312" w:lineRule="auto"/>
      </w:pPr>
    </w:p>
    <w:p>
      <w:pPr>
        <w:pStyle w:val="Heading1"/>
        <w:spacing w:before="200" w:after="140"/>
        <w:keepNext/>
      </w:pPr>
      <w:r>
        <w:rPr>
          <w:rFonts w:ascii="Arial" w:hAnsi="Arial" w:eastAsia="Arial Unicode MS"/>
          <w:b/>
          <w:color w:val="071B33"/>
          <w:sz w:val="36"/>
        </w:rPr>
        <w:t>8. 扫描身份证 OCR</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进入新增员工页面，点击“扫描身份证”。</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允许小程序使用相机，拍摄身份证人像面。</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保持证件完整、光线均匀、文字清晰，不要反光或遮挡。</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识别完成后核对姓名、身份证号码、性别、住址。</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OCR 只负责减少手工输入，驻厂专员仍需核对原件。</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FFF0F0"/>
            <w:tcMar>
              <w:top w:w="120" w:type="dxa"/>
              <w:start w:w="180" w:type="dxa"/>
              <w:bottom w:w="120" w:type="dxa"/>
              <w:end w:w="180" w:type="dxa"/>
            </w:tcMar>
          </w:tcPr>
          <w:p>
            <w:r>
              <w:rPr>
                <w:rFonts w:ascii="Arial" w:hAnsi="Arial" w:eastAsia="Arial Unicode MS"/>
                <w:b/>
                <w:color w:val="DC4C4C"/>
                <w:sz w:val="21"/>
              </w:rPr>
              <w:t xml:space="preserve">识别失败　</w:t>
            </w:r>
            <w:r>
              <w:rPr>
                <w:rFonts w:ascii="Arial" w:hAnsi="Arial" w:eastAsia="Arial Unicode MS"/>
                <w:b w:val="0"/>
                <w:color w:val="182739"/>
                <w:sz w:val="21"/>
              </w:rPr>
              <w:t>重新拍摄并保证证件四角完整；仍失败时改为手工录入。禁止把身份证照片发到工作群请求他人代录。</w:t>
            </w:r>
          </w:p>
        </w:tc>
      </w:tr>
    </w:tbl>
    <w:p>
      <w:pPr>
        <w:spacing w:before="0" w:after="40" w:line="312" w:lineRule="auto"/>
      </w:pPr>
    </w:p>
    <w:p>
      <w:pPr>
        <w:pStyle w:val="Heading1"/>
        <w:spacing w:before="200" w:after="140"/>
        <w:keepNext/>
      </w:pPr>
      <w:r>
        <w:rPr>
          <w:rFonts w:ascii="Arial" w:hAnsi="Arial" w:eastAsia="Arial Unicode MS"/>
          <w:b/>
          <w:color w:val="071B33"/>
          <w:sz w:val="36"/>
        </w:rPr>
        <w:t>9. 确认员工入职</w:t>
      </w:r>
    </w:p>
    <w:p>
      <w:pPr>
        <w:spacing w:before="0" w:after="100" w:line="312" w:lineRule="auto"/>
      </w:pPr>
      <w:r>
        <w:rPr>
          <w:rFonts w:ascii="Arial" w:hAnsi="Arial" w:eastAsia="Arial Unicode MS"/>
          <w:b w:val="0"/>
          <w:color w:val="182739"/>
          <w:sz w:val="21"/>
        </w:rPr>
        <w:t>“待入职”表示已建档但尚未确认到岗。员工实际到厂并通过现场核验后，才能确认入职。</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在驻厂人员管理选择“待入职”。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找到员工，点击“确认入职”。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复核客户、项目、岗位、入职日期和招聘渠道。</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确认员工已实际到岗后提交，状态变为“在职”。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继续办理劳动合同和雇主险增保，完成入职合规。</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EAF7FA"/>
            <w:tcMar>
              <w:top w:w="120" w:type="dxa"/>
              <w:start w:w="180" w:type="dxa"/>
              <w:bottom w:w="120" w:type="dxa"/>
              <w:end w:w="180" w:type="dxa"/>
            </w:tcMar>
          </w:tcPr>
          <w:p>
            <w:r>
              <w:rPr>
                <w:rFonts w:ascii="Arial" w:hAnsi="Arial" w:eastAsia="Arial Unicode MS"/>
                <w:b/>
                <w:color w:val="0EA5A8"/>
                <w:sz w:val="21"/>
              </w:rPr>
              <w:t xml:space="preserve">未到岗处理　</w:t>
            </w:r>
            <w:r>
              <w:rPr>
                <w:rFonts w:ascii="Arial" w:hAnsi="Arial" w:eastAsia="Arial Unicode MS"/>
                <w:b w:val="0"/>
                <w:color w:val="182739"/>
                <w:sz w:val="21"/>
              </w:rPr>
              <w:t>员工最终未到岗时，将状态改为“未入职”。其信息会进入人才库继续跟进，不应误设为在职。</w:t>
            </w:r>
          </w:p>
        </w:tc>
      </w:tr>
    </w:tbl>
    <w:p>
      <w:pPr>
        <w:spacing w:before="0" w:after="40" w:line="312" w:lineRule="auto"/>
      </w:pPr>
    </w:p>
    <w:p>
      <w:pPr>
        <w:pStyle w:val="Heading1"/>
        <w:spacing w:before="200" w:after="140"/>
        <w:keepNext/>
      </w:pPr>
      <w:r>
        <w:rPr>
          <w:rFonts w:ascii="Arial" w:hAnsi="Arial" w:eastAsia="Arial Unicode MS"/>
          <w:b/>
          <w:color w:val="071B33"/>
          <w:sz w:val="36"/>
        </w:rPr>
        <w:t>10. 在职员工维护与调岗</w:t>
      </w:r>
    </w:p>
    <w:p>
      <w:pPr>
        <w:pStyle w:val="Heading2"/>
        <w:spacing w:before="140" w:after="140"/>
        <w:keepNext/>
      </w:pPr>
      <w:r>
        <w:rPr>
          <w:rFonts w:ascii="Arial" w:hAnsi="Arial" w:eastAsia="Arial Unicode MS"/>
          <w:b/>
          <w:color w:val="0B2948"/>
          <w:sz w:val="27"/>
        </w:rPr>
        <w:t>10.1 编辑员工</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进入驻厂人员管理，选择客户后找到员工。</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点击员工卡片，再点击“编辑资料”。</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修改手机号、岗位、费用模式、招聘渠道等允许字段。</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保存后返回列表，确认展示已更新。</w:t>
            </w:r>
          </w:p>
        </w:tc>
      </w:tr>
    </w:tbl>
    <w:p>
      <w:pPr>
        <w:spacing w:before="0" w:after="40" w:line="312" w:lineRule="auto"/>
      </w:pPr>
    </w:p>
    <w:p>
      <w:pPr>
        <w:pStyle w:val="Heading2"/>
        <w:spacing w:before="140" w:after="140"/>
        <w:keepNext/>
      </w:pPr>
      <w:r>
        <w:rPr>
          <w:rFonts w:ascii="Arial" w:hAnsi="Arial" w:eastAsia="Arial Unicode MS"/>
          <w:b/>
          <w:color w:val="0B2948"/>
          <w:sz w:val="27"/>
        </w:rPr>
        <w:t>10.2 员工调岗</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从员工详情发起调岗，选择目标项目、岗位和生效日期。</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同项目或授权范围内调岗按系统提示确认。</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跨项目调岗由目标项目驻厂专员接收；跨客户调岗需企业 HR 复核。</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接收完成后，新项目驻厂专员可在本人客户/项目下看到员工。</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FFF7E7"/>
            <w:tcMar>
              <w:top w:w="120" w:type="dxa"/>
              <w:start w:w="180" w:type="dxa"/>
              <w:bottom w:w="120" w:type="dxa"/>
              <w:end w:w="180" w:type="dxa"/>
            </w:tcMar>
          </w:tcPr>
          <w:p>
            <w:r>
              <w:rPr>
                <w:rFonts w:ascii="Arial" w:hAnsi="Arial" w:eastAsia="Arial Unicode MS"/>
                <w:b/>
                <w:color w:val="F59E0B"/>
                <w:sz w:val="21"/>
              </w:rPr>
              <w:t xml:space="preserve">不要直接改历史　</w:t>
            </w:r>
            <w:r>
              <w:rPr>
                <w:rFonts w:ascii="Arial" w:hAnsi="Arial" w:eastAsia="Arial Unicode MS"/>
                <w:b w:val="0"/>
                <w:color w:val="182739"/>
                <w:sz w:val="21"/>
              </w:rPr>
              <w:t>调岗必须使用“调岗”功能，系统才会保留任职记录。不要仅修改岗位名称代替调岗。</w:t>
            </w:r>
          </w:p>
        </w:tc>
      </w:tr>
    </w:tbl>
    <w:p>
      <w:pPr>
        <w:spacing w:before="0" w:after="40" w:line="312" w:lineRule="auto"/>
      </w:pPr>
    </w:p>
    <w:p>
      <w:pPr>
        <w:pStyle w:val="Heading1"/>
        <w:spacing w:before="200" w:after="140"/>
        <w:keepNext/>
      </w:pPr>
      <w:r>
        <w:rPr>
          <w:rFonts w:ascii="Arial" w:hAnsi="Arial" w:eastAsia="Arial Unicode MS"/>
          <w:b/>
          <w:color w:val="071B33"/>
          <w:sz w:val="36"/>
        </w:rPr>
        <w:t>11. 劳动合同与雇主险</w:t>
      </w:r>
    </w:p>
    <w:p>
      <w:pPr>
        <w:spacing w:before="0" w:after="100" w:line="312" w:lineRule="auto"/>
      </w:pPr>
      <w:r>
        <w:rPr>
          <w:rFonts w:ascii="Arial" w:hAnsi="Arial" w:eastAsia="Arial Unicode MS"/>
          <w:b w:val="0"/>
          <w:color w:val="182739"/>
          <w:sz w:val="21"/>
        </w:rPr>
        <w:t>用工风险中心保持简化：新员工入职主要检查劳动合同是否签订、雇主险是否增保。</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07_合同与雇主险合规图.png"/>
                    <pic:cNvPicPr/>
                  </pic:nvPicPr>
                  <pic:blipFill>
                    <a:blip r:embed="rId17"/>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图：劳动合同与雇主险两项入职合规</w:t>
      </w:r>
    </w:p>
    <w:p>
      <w:pPr>
        <w:pStyle w:val="Heading2"/>
        <w:spacing w:before="140" w:after="140"/>
        <w:keepNext/>
      </w:pPr>
      <w:r>
        <w:rPr>
          <w:rFonts w:ascii="Arial" w:hAnsi="Arial" w:eastAsia="Arial Unicode MS"/>
          <w:b/>
          <w:color w:val="0B2948"/>
          <w:sz w:val="27"/>
        </w:rPr>
        <w:t>11.1 登记劳动合同</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打开在职员工详情，点击“登记合同”。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填写合同类型、开始日期、结束日期和签署状态。</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只有实际完成签署后才能选择“已签署”。</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保存后回到员工详情，确认合同状态已更新。</w:t>
            </w:r>
          </w:p>
        </w:tc>
      </w:tr>
    </w:tbl>
    <w:p>
      <w:pPr>
        <w:spacing w:before="0" w:after="40" w:line="312" w:lineRule="auto"/>
      </w:pPr>
    </w:p>
    <w:p>
      <w:pPr>
        <w:pStyle w:val="Heading2"/>
        <w:spacing w:before="140" w:after="140"/>
        <w:keepNext/>
      </w:pPr>
      <w:r>
        <w:rPr>
          <w:rFonts w:ascii="Arial" w:hAnsi="Arial" w:eastAsia="Arial Unicode MS"/>
          <w:b/>
          <w:color w:val="0B2948"/>
          <w:sz w:val="27"/>
        </w:rPr>
        <w:t>11.2 雇主险增保</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打开在职员工详情，点击“雇主险”。</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选择“增保”，填写生效日期和必要备注。</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保存后确认员工卡片显示“已增保/保障中”。</w:t>
            </w:r>
          </w:p>
        </w:tc>
      </w:tr>
    </w:tbl>
    <w:p>
      <w:pPr>
        <w:spacing w:before="0" w:after="40" w:line="312" w:lineRule="auto"/>
      </w:pPr>
    </w:p>
    <w:p>
      <w:pPr>
        <w:pStyle w:val="Heading2"/>
        <w:spacing w:before="140" w:after="140"/>
        <w:keepNext/>
      </w:pPr>
      <w:r>
        <w:rPr>
          <w:rFonts w:ascii="Arial" w:hAnsi="Arial" w:eastAsia="Arial Unicode MS"/>
          <w:b/>
          <w:color w:val="0B2948"/>
          <w:sz w:val="27"/>
        </w:rPr>
        <w:t>11.3 雇主险减保</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员工发起离职后，从离职交接或员工详情进入雇主险。</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选择“减保”，填写减保日期和备注。</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保存后继续完成工资结算和其他离职交接。</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EAF7FA"/>
            <w:tcMar>
              <w:top w:w="120" w:type="dxa"/>
              <w:start w:w="180" w:type="dxa"/>
              <w:bottom w:w="120" w:type="dxa"/>
              <w:end w:w="180" w:type="dxa"/>
            </w:tcMar>
          </w:tcPr>
          <w:p>
            <w:r>
              <w:rPr>
                <w:rFonts w:ascii="Arial" w:hAnsi="Arial" w:eastAsia="Arial Unicode MS"/>
                <w:b/>
                <w:color w:val="0EA5A8"/>
                <w:sz w:val="21"/>
              </w:rPr>
              <w:t xml:space="preserve">合规范围　</w:t>
            </w:r>
            <w:r>
              <w:rPr>
                <w:rFonts w:ascii="Arial" w:hAnsi="Arial" w:eastAsia="Arial Unicode MS"/>
                <w:b w:val="0"/>
                <w:color w:val="182739"/>
                <w:sz w:val="21"/>
              </w:rPr>
              <w:t>当前系统不再设置独立保险提示、社保公积金管理，只保留雇主险增保/减保。</w:t>
            </w:r>
          </w:p>
        </w:tc>
      </w:tr>
    </w:tbl>
    <w:p>
      <w:pPr>
        <w:spacing w:before="0" w:after="40" w:line="312" w:lineRule="auto"/>
      </w:pPr>
    </w:p>
    <w:p>
      <w:pPr>
        <w:pStyle w:val="Heading1"/>
        <w:spacing w:before="200" w:after="140"/>
        <w:keepNext/>
      </w:pPr>
      <w:r>
        <w:rPr>
          <w:rFonts w:ascii="Arial" w:hAnsi="Arial" w:eastAsia="Arial Unicode MS"/>
          <w:b/>
          <w:color w:val="071B33"/>
          <w:sz w:val="36"/>
        </w:rPr>
        <w:t>12. 驻厂预支登记</w:t>
      </w:r>
    </w:p>
    <w:p>
      <w:pPr>
        <w:spacing w:before="0" w:after="100" w:line="312" w:lineRule="auto"/>
      </w:pPr>
      <w:r>
        <w:rPr>
          <w:rFonts w:ascii="Arial" w:hAnsi="Arial" w:eastAsia="Arial Unicode MS"/>
          <w:b w:val="0"/>
          <w:color w:val="182739"/>
          <w:sz w:val="21"/>
        </w:rPr>
        <w:t>驻厂预支用于记录员工现场实际预支情况。登记后直接形成台账和未结余额，薪资核算时按记录扣回。</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08_驻厂预支登记示意.png"/>
                    <pic:cNvPicPr/>
                  </pic:nvPicPr>
                  <pic:blipFill>
                    <a:blip r:embed="rId18"/>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图：小程序驻厂预支登记页面示意</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在工作台点击“驻厂预支”，点击“登记预支”。</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选择在职员工。系统自动带出客户单位和项目。</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填写实际预支日期、时间、金额和用途。</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核对后保存；系统记录登记人和操作时间。</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在预支台账中确认金额、用途、客户项目和未结余额。</w:t>
            </w:r>
          </w:p>
        </w:tc>
      </w:tr>
    </w:tbl>
    <w:p>
      <w:pPr>
        <w:spacing w:before="0" w:after="40" w:line="312" w:lineRule="auto"/>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校验项</w:t>
            </w:r>
          </w:p>
        </w:tc>
        <w:tc>
          <w:tcPr>
            <w:tcW w:type="dxa" w:w="6350"/>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规则</w:t>
            </w:r>
          </w:p>
        </w:tc>
      </w:tr>
      <w:tr>
        <w:tc>
          <w:tcPr>
            <w:tcW w:type="dxa" w:w="283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员工状态</w:t>
            </w:r>
          </w:p>
        </w:tc>
        <w:tc>
          <w:tcPr>
            <w:tcW w:type="dxa" w:w="635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仅在职员工可登记</w:t>
            </w:r>
          </w:p>
        </w:tc>
      </w:tr>
      <w:tr>
        <w:tc>
          <w:tcPr>
            <w:tcW w:type="dxa" w:w="283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单笔金额</w:t>
            </w:r>
          </w:p>
        </w:tc>
        <w:tc>
          <w:tcPr>
            <w:tcW w:type="dxa" w:w="6350"/>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大于0且不超过2,000元</w:t>
            </w:r>
          </w:p>
        </w:tc>
      </w:tr>
      <w:tr>
        <w:tc>
          <w:tcPr>
            <w:tcW w:type="dxa" w:w="283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未结合计</w:t>
            </w:r>
          </w:p>
        </w:tc>
        <w:tc>
          <w:tcPr>
            <w:tcW w:type="dxa" w:w="635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员工未结余额加本次金额不超过3,000元</w:t>
            </w:r>
          </w:p>
        </w:tc>
      </w:tr>
      <w:tr>
        <w:tc>
          <w:tcPr>
            <w:tcW w:type="dxa" w:w="283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时间范围</w:t>
            </w:r>
          </w:p>
        </w:tc>
        <w:tc>
          <w:tcPr>
            <w:tcW w:type="dxa" w:w="6350"/>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不可晚于当前时间，仅允许补录最近一年</w:t>
            </w:r>
          </w:p>
        </w:tc>
      </w:tr>
      <w:tr>
        <w:tc>
          <w:tcPr>
            <w:tcW w:type="dxa" w:w="283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所属项目</w:t>
            </w:r>
          </w:p>
        </w:tc>
        <w:tc>
          <w:tcPr>
            <w:tcW w:type="dxa" w:w="635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驻厂专员账号必须选择本人授权项目</w:t>
            </w:r>
          </w:p>
        </w:tc>
      </w:tr>
    </w:tbl>
    <w:p>
      <w:pPr>
        <w:spacing w:before="0" w:after="60" w:line="312" w:lineRule="auto"/>
      </w:pPr>
    </w:p>
    <w:p>
      <w:pPr>
        <w:pStyle w:val="Heading1"/>
        <w:spacing w:before="200" w:after="140"/>
        <w:keepNext/>
      </w:pPr>
      <w:r>
        <w:rPr>
          <w:rFonts w:ascii="Arial" w:hAnsi="Arial" w:eastAsia="Arial Unicode MS"/>
          <w:b/>
          <w:color w:val="071B33"/>
          <w:sz w:val="36"/>
        </w:rPr>
        <w:t>13. 离职管理</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09_离职办理流程图.png"/>
                    <pic:cNvPicPr/>
                  </pic:nvPicPr>
                  <pic:blipFill>
                    <a:blip r:embed="rId19"/>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图：员工离职办理闭环</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在在职员工卡片点击“办理离职”。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填写离职日期、离职原因和备注，发起离职。</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按现场实际完成工牌、工具、宿舍、考勤等交接。</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办理雇主险减保。</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5</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核对工资、预支扣回和结算状态。</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6</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所有事项完成后提交，员工转为“离职”。</w:t>
            </w:r>
          </w:p>
        </w:tc>
      </w:tr>
    </w:tbl>
    <w:p>
      <w:pPr>
        <w:spacing w:before="0" w:after="40" w:line="312" w:lineRule="auto"/>
      </w:pPr>
    </w:p>
    <w:tbl>
      <w:tblPr>
        <w:tblW w:type="auto" w:w="0"/>
        <w:tblLook w:firstColumn="1" w:firstRow="1" w:lastColumn="0" w:lastRow="0" w:noHBand="0" w:noVBand="1" w:val="04A0"/>
      </w:tblPr>
      <w:tblGrid>
        <w:gridCol w:w="9972"/>
      </w:tblGrid>
      <w:tr>
        <w:tc>
          <w:tcPr>
            <w:tcW w:type="dxa" w:w="9972"/>
            <w:shd w:fill="FFF7E7"/>
            <w:tcMar>
              <w:top w:w="120" w:type="dxa"/>
              <w:start w:w="180" w:type="dxa"/>
              <w:bottom w:w="120" w:type="dxa"/>
              <w:end w:w="180" w:type="dxa"/>
            </w:tcMar>
          </w:tcPr>
          <w:p>
            <w:r>
              <w:rPr>
                <w:rFonts w:ascii="Arial" w:hAnsi="Arial" w:eastAsia="Arial Unicode MS"/>
                <w:b/>
                <w:color w:val="F59E0B"/>
                <w:sz w:val="21"/>
              </w:rPr>
              <w:t xml:space="preserve">状态说明　</w:t>
            </w:r>
            <w:r>
              <w:rPr>
                <w:rFonts w:ascii="Arial" w:hAnsi="Arial" w:eastAsia="Arial Unicode MS"/>
                <w:b w:val="0"/>
                <w:color w:val="182739"/>
                <w:sz w:val="21"/>
              </w:rPr>
              <w:t>发起离职后员工处于“离职中”，仍需继续处理。只有交接、减保和工资结算闭环后才成为正式离职。</w:t>
            </w:r>
          </w:p>
        </w:tc>
      </w:tr>
    </w:tbl>
    <w:p>
      <w:pPr>
        <w:spacing w:before="0" w:after="40" w:line="312" w:lineRule="auto"/>
      </w:pPr>
    </w:p>
    <w:p>
      <w:pPr>
        <w:pStyle w:val="Heading1"/>
        <w:spacing w:before="200" w:after="140"/>
        <w:keepNext/>
      </w:pPr>
      <w:r>
        <w:rPr>
          <w:rFonts w:ascii="Arial" w:hAnsi="Arial" w:eastAsia="Arial Unicode MS"/>
          <w:b/>
          <w:color w:val="071B33"/>
          <w:sz w:val="36"/>
        </w:rPr>
        <w:t>14. 人才库流转</w:t>
      </w:r>
    </w:p>
    <w:p>
      <w:pPr>
        <w:spacing w:before="0" w:after="100" w:line="312" w:lineRule="auto"/>
      </w:pPr>
      <w:r>
        <w:rPr>
          <w:rFonts w:ascii="Arial" w:hAnsi="Arial" w:eastAsia="Arial Unicode MS"/>
          <w:b w:val="0"/>
          <w:color w:val="182739"/>
          <w:sz w:val="21"/>
        </w:rPr>
        <w:t>人才库与新增员工、花名册关联，用于沉淀未入职和已离职人员。</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触发状态</w:t>
            </w:r>
          </w:p>
        </w:tc>
        <w:tc>
          <w:tcPr>
            <w:tcW w:type="dxa" w:w="3402"/>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系统动作</w:t>
            </w:r>
          </w:p>
        </w:tc>
        <w:tc>
          <w:tcPr>
            <w:tcW w:type="dxa" w:w="4082"/>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驻厂处理</w:t>
            </w:r>
          </w:p>
        </w:tc>
      </w:tr>
      <w:tr>
        <w:tc>
          <w:tcPr>
            <w:tcW w:type="dxa" w:w="170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未入职</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保留员工档案并自动进入人才库</w:t>
            </w:r>
          </w:p>
        </w:tc>
        <w:tc>
          <w:tcPr>
            <w:tcW w:type="dxa" w:w="408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补充未到岗原因和后续跟进</w:t>
            </w:r>
          </w:p>
        </w:tc>
      </w:tr>
      <w:tr>
        <w:tc>
          <w:tcPr>
            <w:tcW w:type="dxa" w:w="170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离职</w:t>
            </w:r>
          </w:p>
        </w:tc>
        <w:tc>
          <w:tcPr>
            <w:tcW w:type="dxa" w:w="340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正式离职后自动回流人才库</w:t>
            </w:r>
          </w:p>
        </w:tc>
        <w:tc>
          <w:tcPr>
            <w:tcW w:type="dxa" w:w="408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保留原客户、岗位、渠道和离职信息</w:t>
            </w:r>
          </w:p>
        </w:tc>
      </w:tr>
      <w:tr>
        <w:tc>
          <w:tcPr>
            <w:tcW w:type="dxa" w:w="170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重新录用</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从人才库/未入职人员重新发起录用</w:t>
            </w:r>
          </w:p>
        </w:tc>
        <w:tc>
          <w:tcPr>
            <w:tcW w:type="dxa" w:w="408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重新核对客户、项目、岗位和入职合规</w:t>
            </w:r>
          </w:p>
        </w:tc>
      </w:tr>
    </w:tbl>
    <w:p>
      <w:pPr>
        <w:spacing w:before="0" w:after="60" w:line="312" w:lineRule="auto"/>
      </w:pPr>
    </w:p>
    <w:tbl>
      <w:tblPr>
        <w:tblW w:type="auto" w:w="0"/>
        <w:tblLook w:firstColumn="1" w:firstRow="1" w:lastColumn="0" w:lastRow="0" w:noHBand="0" w:noVBand="1" w:val="04A0"/>
      </w:tblPr>
      <w:tblGrid>
        <w:gridCol w:w="9972"/>
      </w:tblGrid>
      <w:tr>
        <w:tc>
          <w:tcPr>
            <w:tcW w:type="dxa" w:w="9972"/>
            <w:shd w:fill="FFF0F0"/>
            <w:tcMar>
              <w:top w:w="120" w:type="dxa"/>
              <w:start w:w="180" w:type="dxa"/>
              <w:bottom w:w="120" w:type="dxa"/>
              <w:end w:w="180" w:type="dxa"/>
            </w:tcMar>
          </w:tcPr>
          <w:p>
            <w:r>
              <w:rPr>
                <w:rFonts w:ascii="Arial" w:hAnsi="Arial" w:eastAsia="Arial Unicode MS"/>
                <w:b/>
                <w:color w:val="DC4C4C"/>
                <w:sz w:val="21"/>
              </w:rPr>
              <w:t xml:space="preserve">禁止重复建档　</w:t>
            </w:r>
            <w:r>
              <w:rPr>
                <w:rFonts w:ascii="Arial" w:hAnsi="Arial" w:eastAsia="Arial Unicode MS"/>
                <w:b w:val="0"/>
                <w:color w:val="182739"/>
                <w:sz w:val="21"/>
              </w:rPr>
              <w:t>已有员工或人才记录时优先使用重新录用或关联功能，不要新建重复人员。</w:t>
            </w:r>
          </w:p>
        </w:tc>
      </w:tr>
    </w:tbl>
    <w:p>
      <w:pPr>
        <w:spacing w:before="0" w:after="40" w:line="312" w:lineRule="auto"/>
      </w:pPr>
    </w:p>
    <w:p>
      <w:pPr>
        <w:pStyle w:val="Heading1"/>
        <w:spacing w:before="200" w:after="140"/>
        <w:keepNext/>
      </w:pPr>
      <w:r>
        <w:rPr>
          <w:rFonts w:ascii="Arial" w:hAnsi="Arial" w:eastAsia="Arial Unicode MS"/>
          <w:b/>
          <w:color w:val="071B33"/>
          <w:sz w:val="36"/>
        </w:rPr>
        <w:t>15. 驻厂待办</w:t>
      </w:r>
    </w:p>
    <w:p>
      <w:pPr>
        <w:spacing w:before="0" w:after="100" w:line="312" w:lineRule="auto"/>
      </w:pPr>
      <w:r>
        <w:rPr>
          <w:rFonts w:ascii="Arial" w:hAnsi="Arial" w:eastAsia="Arial Unicode MS"/>
          <w:b w:val="0"/>
          <w:color w:val="182739"/>
          <w:sz w:val="21"/>
        </w:rPr>
        <w:t>驻厂待办按当前账号授权项目统计，常见事项包括待入职、合同待签、雇主险待增、转岗接收、离职减保和离职交接。</w:t>
      </w: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1</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每天登录后先打开驻厂处理队列。</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2</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点击待办进入对应员工或业务页面。</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3</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完成业务操作后返回工作台，系统会刷新数量。</w:t>
            </w:r>
          </w:p>
        </w:tc>
      </w:tr>
    </w:tbl>
    <w:p>
      <w:pPr>
        <w:spacing w:before="0" w:after="40" w:line="312" w:lineRule="auto"/>
      </w:pPr>
    </w:p>
    <w:tbl>
      <w:tblPr>
        <w:tblW w:type="auto" w:w="0"/>
        <w:jc w:val="center"/>
        <w:tblLayout w:type="fixed"/>
        <w:tblLook w:firstColumn="1" w:firstRow="1" w:lastColumn="0" w:lastRow="0" w:noHBand="0" w:noVBand="1" w:val="04A0"/>
      </w:tblPr>
      <w:tblGrid>
        <w:gridCol w:w="680"/>
        <w:gridCol w:w="8617"/>
      </w:tblGrid>
      <w:tr>
        <w:tc>
          <w:tcPr>
            <w:tcW w:type="dxa" w:w="4986"/>
            <w:shd w:fill="0EA5A8"/>
            <w:vAlign w:val="center"/>
            <w:tcMar>
              <w:top w:w="100" w:type="dxa"/>
              <w:start w:w="130" w:type="dxa"/>
              <w:bottom w:w="100" w:type="dxa"/>
              <w:end w:w="130" w:type="dxa"/>
            </w:tcMar>
          </w:tcPr>
          <w:p>
            <w:pPr>
              <w:spacing w:after="0"/>
              <w:jc w:val="center"/>
            </w:pPr>
            <w:r>
              <w:rPr>
                <w:rFonts w:ascii="Arial" w:hAnsi="Arial" w:eastAsia="Arial Unicode MS"/>
                <w:b/>
                <w:color w:val="FFFFFF"/>
                <w:sz w:val="21"/>
              </w:rPr>
              <w:t>4</w:t>
            </w:r>
          </w:p>
        </w:tc>
        <w:tc>
          <w:tcPr>
            <w:tcW w:type="dxa" w:w="4986"/>
            <w:shd w:fill="F4F8FB"/>
            <w:vAlign w:val="center"/>
            <w:tcMar>
              <w:top w:w="100" w:type="dxa"/>
              <w:start w:w="130" w:type="dxa"/>
              <w:bottom w:w="100" w:type="dxa"/>
              <w:end w:w="130" w:type="dxa"/>
            </w:tcMar>
          </w:tcPr>
          <w:p>
            <w:pPr>
              <w:spacing w:after="0"/>
            </w:pPr>
            <w:r>
              <w:rPr>
                <w:rFonts w:ascii="Arial" w:hAnsi="Arial" w:eastAsia="Arial Unicode MS"/>
                <w:b w:val="0"/>
                <w:color w:val="182739"/>
                <w:sz w:val="21"/>
              </w:rPr>
              <w:t>若待办未消失，检查是否还有必要字段或流程节点未完成。</w:t>
            </w:r>
          </w:p>
        </w:tc>
      </w:tr>
    </w:tbl>
    <w:p>
      <w:pPr>
        <w:spacing w:before="0" w:after="40" w:line="312" w:lineRule="auto"/>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待办</w:t>
            </w:r>
          </w:p>
        </w:tc>
        <w:tc>
          <w:tcPr>
            <w:tcW w:type="dxa" w:w="3515"/>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处理入口</w:t>
            </w:r>
          </w:p>
        </w:tc>
        <w:tc>
          <w:tcPr>
            <w:tcW w:type="dxa" w:w="362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完成标准</w:t>
            </w:r>
          </w:p>
        </w:tc>
      </w:tr>
      <w:tr>
        <w:tc>
          <w:tcPr>
            <w:tcW w:type="dxa" w:w="204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待确认入职</w:t>
            </w:r>
          </w:p>
        </w:tc>
        <w:tc>
          <w:tcPr>
            <w:tcW w:type="dxa" w:w="351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待入职人员 → 确认入职</w:t>
            </w:r>
          </w:p>
        </w:tc>
        <w:tc>
          <w:tcPr>
            <w:tcW w:type="dxa" w:w="362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员工状态为在职</w:t>
            </w:r>
          </w:p>
        </w:tc>
      </w:tr>
      <w:tr>
        <w:tc>
          <w:tcPr>
            <w:tcW w:type="dxa" w:w="204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合同待签</w:t>
            </w:r>
          </w:p>
        </w:tc>
        <w:tc>
          <w:tcPr>
            <w:tcW w:type="dxa" w:w="351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员工详情 → 登记合同</w:t>
            </w:r>
          </w:p>
        </w:tc>
        <w:tc>
          <w:tcPr>
            <w:tcW w:type="dxa" w:w="362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签署状态为已签署</w:t>
            </w:r>
          </w:p>
        </w:tc>
      </w:tr>
      <w:tr>
        <w:tc>
          <w:tcPr>
            <w:tcW w:type="dxa" w:w="204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雇主险待增</w:t>
            </w:r>
          </w:p>
        </w:tc>
        <w:tc>
          <w:tcPr>
            <w:tcW w:type="dxa" w:w="351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员工详情 → 雇主险 → 增保</w:t>
            </w:r>
          </w:p>
        </w:tc>
        <w:tc>
          <w:tcPr>
            <w:tcW w:type="dxa" w:w="362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状态为保障中</w:t>
            </w:r>
          </w:p>
        </w:tc>
      </w:tr>
      <w:tr>
        <w:tc>
          <w:tcPr>
            <w:tcW w:type="dxa" w:w="204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转岗待接收</w:t>
            </w:r>
          </w:p>
        </w:tc>
        <w:tc>
          <w:tcPr>
            <w:tcW w:type="dxa" w:w="351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驻厂待办 → 转岗记录</w:t>
            </w:r>
          </w:p>
        </w:tc>
        <w:tc>
          <w:tcPr>
            <w:tcW w:type="dxa" w:w="362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接收或按实际拒绝</w:t>
            </w:r>
          </w:p>
        </w:tc>
      </w:tr>
      <w:tr>
        <w:tc>
          <w:tcPr>
            <w:tcW w:type="dxa" w:w="204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离职待减保</w:t>
            </w:r>
          </w:p>
        </w:tc>
        <w:tc>
          <w:tcPr>
            <w:tcW w:type="dxa" w:w="351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离职交接 → 雇主险减保</w:t>
            </w:r>
          </w:p>
        </w:tc>
        <w:tc>
          <w:tcPr>
            <w:tcW w:type="dxa" w:w="362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减保记录已保存</w:t>
            </w:r>
          </w:p>
        </w:tc>
      </w:tr>
      <w:tr>
        <w:tc>
          <w:tcPr>
            <w:tcW w:type="dxa" w:w="204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离职交接</w:t>
            </w:r>
          </w:p>
        </w:tc>
        <w:tc>
          <w:tcPr>
            <w:tcW w:type="dxa" w:w="351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员工详情 → 继续离职交接</w:t>
            </w:r>
          </w:p>
        </w:tc>
        <w:tc>
          <w:tcPr>
            <w:tcW w:type="dxa" w:w="362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交接和工资结算全部完成</w:t>
            </w:r>
          </w:p>
        </w:tc>
      </w:tr>
    </w:tbl>
    <w:p>
      <w:pPr>
        <w:spacing w:before="0" w:after="60" w:line="312" w:lineRule="auto"/>
      </w:pPr>
    </w:p>
    <w:p>
      <w:pPr>
        <w:pStyle w:val="Heading1"/>
        <w:spacing w:before="200" w:after="140"/>
        <w:keepNext/>
      </w:pPr>
      <w:r>
        <w:rPr>
          <w:rFonts w:ascii="Arial" w:hAnsi="Arial" w:eastAsia="Arial Unicode MS"/>
          <w:b/>
          <w:color w:val="071B33"/>
          <w:sz w:val="36"/>
        </w:rPr>
        <w:t>16. 数据权限与保密</w:t>
      </w:r>
    </w:p>
    <w:p>
      <w:pPr>
        <w:pStyle w:val="ListBullet"/>
        <w:spacing w:after="60" w:line="300" w:lineRule="auto"/>
      </w:pPr>
      <w:r>
        <w:rPr>
          <w:rFonts w:ascii="Arial" w:hAnsi="Arial" w:eastAsia="Arial Unicode MS"/>
          <w:b w:val="0"/>
          <w:color w:val="182739"/>
          <w:sz w:val="21"/>
        </w:rPr>
        <w:t>员工身份证、手机号、银行卡、工资属于敏感个人信息，只能用于授权业务。</w:t>
      </w:r>
    </w:p>
    <w:p>
      <w:pPr>
        <w:pStyle w:val="ListBullet"/>
        <w:spacing w:after="60" w:line="300" w:lineRule="auto"/>
      </w:pPr>
      <w:r>
        <w:rPr>
          <w:rFonts w:ascii="Arial" w:hAnsi="Arial" w:eastAsia="Arial Unicode MS"/>
          <w:b w:val="0"/>
          <w:color w:val="182739"/>
          <w:sz w:val="21"/>
        </w:rPr>
        <w:t>系统默认脱敏显示时，不得通过其他方式索取并传播完整信息。</w:t>
      </w:r>
    </w:p>
    <w:p>
      <w:pPr>
        <w:pStyle w:val="ListBullet"/>
        <w:spacing w:after="60" w:line="300" w:lineRule="auto"/>
      </w:pPr>
      <w:r>
        <w:rPr>
          <w:rFonts w:ascii="Arial" w:hAnsi="Arial" w:eastAsia="Arial Unicode MS"/>
          <w:b w:val="0"/>
          <w:color w:val="182739"/>
          <w:sz w:val="21"/>
        </w:rPr>
        <w:t>禁止将名单导出到私人电脑、私人网盘或无权限工作群。</w:t>
      </w:r>
    </w:p>
    <w:p>
      <w:pPr>
        <w:pStyle w:val="ListBullet"/>
        <w:spacing w:after="60" w:line="300" w:lineRule="auto"/>
      </w:pPr>
      <w:r>
        <w:rPr>
          <w:rFonts w:ascii="Arial" w:hAnsi="Arial" w:eastAsia="Arial Unicode MS"/>
          <w:b w:val="0"/>
          <w:color w:val="182739"/>
          <w:sz w:val="21"/>
        </w:rPr>
        <w:t>禁止代替他人登录；账号变更、离职或调离项目时应立即通知管理员调整权限。</w:t>
      </w:r>
    </w:p>
    <w:p>
      <w:pPr>
        <w:pStyle w:val="ListBullet"/>
        <w:spacing w:after="60" w:line="300" w:lineRule="auto"/>
      </w:pPr>
      <w:r>
        <w:rPr>
          <w:rFonts w:ascii="Arial" w:hAnsi="Arial" w:eastAsia="Arial Unicode MS"/>
          <w:b w:val="0"/>
          <w:color w:val="182739"/>
          <w:sz w:val="21"/>
        </w:rPr>
        <w:t>发现查看到非本人项目数据时停止操作，立即报告企业管理员。</w:t>
      </w:r>
    </w:p>
    <w:p>
      <w:pPr>
        <w:pStyle w:val="ListBullet"/>
        <w:spacing w:after="60" w:line="300" w:lineRule="auto"/>
      </w:pPr>
      <w:r>
        <w:rPr>
          <w:rFonts w:ascii="Arial" w:hAnsi="Arial" w:eastAsia="Arial Unicode MS"/>
          <w:b w:val="0"/>
          <w:color w:val="182739"/>
          <w:sz w:val="21"/>
        </w:rPr>
        <w:t>黑名单信息全公司共享，但不得用于与业务无关的传播或歧视性用途。</w:t>
      </w:r>
    </w:p>
    <w:tbl>
      <w:tblPr>
        <w:tblW w:type="auto" w:w="0"/>
        <w:tblLook w:firstColumn="1" w:firstRow="1" w:lastColumn="0" w:lastRow="0" w:noHBand="0" w:noVBand="1" w:val="04A0"/>
      </w:tblPr>
      <w:tblGrid>
        <w:gridCol w:w="9972"/>
      </w:tblGrid>
      <w:tr>
        <w:tc>
          <w:tcPr>
            <w:tcW w:type="dxa" w:w="9972"/>
            <w:shd w:fill="EAF7FA"/>
            <w:tcMar>
              <w:top w:w="120" w:type="dxa"/>
              <w:start w:w="180" w:type="dxa"/>
              <w:bottom w:w="120" w:type="dxa"/>
              <w:end w:w="180" w:type="dxa"/>
            </w:tcMar>
          </w:tcPr>
          <w:p>
            <w:r>
              <w:rPr>
                <w:rFonts w:ascii="Arial" w:hAnsi="Arial" w:eastAsia="Arial Unicode MS"/>
                <w:b/>
                <w:color w:val="0EA5A8"/>
                <w:sz w:val="21"/>
              </w:rPr>
              <w:t xml:space="preserve">操作留痕　</w:t>
            </w:r>
            <w:r>
              <w:rPr>
                <w:rFonts w:ascii="Arial" w:hAnsi="Arial" w:eastAsia="Arial Unicode MS"/>
                <w:b w:val="0"/>
                <w:color w:val="182739"/>
                <w:sz w:val="21"/>
              </w:rPr>
              <w:t>员工新增、编辑、合同、雇主险、预支、调岗和离职等关键操作会记录操作人和时间。请使用本人账号据实操作。</w:t>
            </w:r>
          </w:p>
        </w:tc>
      </w:tr>
    </w:tbl>
    <w:p>
      <w:pPr>
        <w:spacing w:before="0" w:after="40" w:line="312" w:lineRule="auto"/>
      </w:pPr>
    </w:p>
    <w:p>
      <w:pPr>
        <w:pStyle w:val="Heading1"/>
        <w:spacing w:before="200" w:after="140"/>
        <w:keepNext/>
      </w:pPr>
      <w:r>
        <w:rPr>
          <w:rFonts w:ascii="Arial" w:hAnsi="Arial" w:eastAsia="Arial Unicode MS"/>
          <w:b/>
          <w:color w:val="071B33"/>
          <w:sz w:val="36"/>
        </w:rPr>
        <w:t>17. 常见问题</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问题</w:t>
            </w:r>
          </w:p>
        </w:tc>
        <w:tc>
          <w:tcPr>
            <w:tcW w:type="dxa" w:w="306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可能原因</w:t>
            </w:r>
          </w:p>
        </w:tc>
        <w:tc>
          <w:tcPr>
            <w:tcW w:type="dxa" w:w="3855"/>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处理方法</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登录后没有提示或页面空白</w:t>
            </w:r>
          </w:p>
        </w:tc>
        <w:tc>
          <w:tcPr>
            <w:tcW w:type="dxa" w:w="306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网络、账号停用或部分数据加载失败</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检查网络并重新登录；仍失败联系管理员提供账号和发生时间</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看不到客户/项目</w:t>
            </w:r>
          </w:p>
        </w:tc>
        <w:tc>
          <w:tcPr>
            <w:tcW w:type="dxa" w:w="306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管理员未派遣或授权已失效</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请管理员在项目卡执行“派遣驻厂”</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新增员工按钮不显示</w:t>
            </w:r>
          </w:p>
        </w:tc>
        <w:tc>
          <w:tcPr>
            <w:tcW w:type="dxa" w:w="306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账号缺少员工新增权限</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请企业管理员配置驻厂专员的员工新增/批量录入权限</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选择不到项目</w:t>
            </w:r>
          </w:p>
        </w:tc>
        <w:tc>
          <w:tcPr>
            <w:tcW w:type="dxa" w:w="306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账号未授权该项目</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先完成项目派遣，不要选择其他客户项目替代</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身份证 OCR 失败</w:t>
            </w:r>
          </w:p>
        </w:tc>
        <w:tc>
          <w:tcPr>
            <w:tcW w:type="dxa" w:w="306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反光、裁切、模糊或 OCR 服务异常</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重新拍摄；仍失败时手工录入并核验原件</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员工保存失败</w:t>
            </w:r>
          </w:p>
        </w:tc>
        <w:tc>
          <w:tcPr>
            <w:tcW w:type="dxa" w:w="306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必填项缺失、重复人员或命中黑名单</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按系统提示补全或停止录入并报告</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费用模式无法选择</w:t>
            </w:r>
          </w:p>
        </w:tc>
        <w:tc>
          <w:tcPr>
            <w:tcW w:type="dxa" w:w="306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费用模式设计为空白自行填写</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按客户合同实际约定填写</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预支无法保存</w:t>
            </w:r>
          </w:p>
        </w:tc>
        <w:tc>
          <w:tcPr>
            <w:tcW w:type="dxa" w:w="306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非在职、超单笔/累计额度、项目未关联</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核对状态、金额和所属项目</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离职后仍显示离职中</w:t>
            </w:r>
          </w:p>
        </w:tc>
        <w:tc>
          <w:tcPr>
            <w:tcW w:type="dxa" w:w="306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交接、减保或工资结算未完成</w:t>
            </w:r>
          </w:p>
        </w:tc>
        <w:tc>
          <w:tcPr>
            <w:tcW w:type="dxa" w:w="3855"/>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进入继续离职交接，逐项完成</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操作后数量未更新</w:t>
            </w:r>
          </w:p>
        </w:tc>
        <w:tc>
          <w:tcPr>
            <w:tcW w:type="dxa" w:w="306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页面缓存或接口未刷新</w:t>
            </w:r>
          </w:p>
        </w:tc>
        <w:tc>
          <w:tcPr>
            <w:tcW w:type="dxa" w:w="3855"/>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返回工作台下拉刷新或重新进入页面</w:t>
            </w:r>
          </w:p>
        </w:tc>
      </w:tr>
    </w:tbl>
    <w:p>
      <w:pPr>
        <w:spacing w:before="0" w:after="60" w:line="312" w:lineRule="auto"/>
      </w:pPr>
    </w:p>
    <w:p>
      <w:pPr>
        <w:pStyle w:val="Heading1"/>
        <w:spacing w:before="200" w:after="140"/>
        <w:keepNext/>
      </w:pPr>
      <w:r>
        <w:rPr>
          <w:rFonts w:ascii="Arial" w:hAnsi="Arial" w:eastAsia="Arial Unicode MS"/>
          <w:b/>
          <w:color w:val="071B33"/>
          <w:sz w:val="36"/>
        </w:rPr>
        <w:t>18. 每日工作清单</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10_驻厂每日工作清单.png"/>
                    <pic:cNvPicPr/>
                  </pic:nvPicPr>
                  <pic:blipFill>
                    <a:blip r:embed="rId20"/>
                    <a:stretch>
                      <a:fillRect/>
                    </a:stretch>
                  </pic:blipFill>
                  <pic:spPr>
                    <a:xfrm>
                      <a:off x="0" y="0"/>
                      <a:ext cx="5760000" cy="3240000"/>
                    </a:xfrm>
                    <a:prstGeom prst="rect"/>
                  </pic:spPr>
                </pic:pic>
              </a:graphicData>
            </a:graphic>
          </wp:inline>
        </w:drawing>
      </w:r>
    </w:p>
    <w:p>
      <w:pPr>
        <w:spacing w:before="0" w:after="160" w:line="312" w:lineRule="auto"/>
        <w:jc w:val="center"/>
      </w:pPr>
      <w:r>
        <w:rPr>
          <w:rFonts w:ascii="Arial" w:hAnsi="Arial" w:eastAsia="Arial Unicode MS"/>
          <w:b w:val="0"/>
          <w:color w:val="617184"/>
          <w:sz w:val="18"/>
        </w:rPr>
        <w:t>图：驻厂专员每日工作清单</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8220"/>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检查项</w:t>
            </w:r>
          </w:p>
        </w:tc>
        <w:tc>
          <w:tcPr>
            <w:tcW w:type="dxa" w:w="964"/>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完成确认</w:t>
            </w:r>
          </w:p>
        </w:tc>
      </w:tr>
      <w:tr>
        <w:tc>
          <w:tcPr>
            <w:tcW w:type="dxa" w:w="822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今日到场新员工均已录入，客户/项目/岗位正确</w:t>
            </w:r>
          </w:p>
        </w:tc>
        <w:tc>
          <w:tcPr>
            <w:tcW w:type="dxa" w:w="96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w:t>
            </w:r>
          </w:p>
        </w:tc>
      </w:tr>
      <w:tr>
        <w:tc>
          <w:tcPr>
            <w:tcW w:type="dxa" w:w="8220"/>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待入职、未入职、在职、离职状态与现场一致</w:t>
            </w:r>
          </w:p>
        </w:tc>
        <w:tc>
          <w:tcPr>
            <w:tcW w:type="dxa" w:w="964"/>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w:t>
            </w:r>
          </w:p>
        </w:tc>
      </w:tr>
      <w:tr>
        <w:tc>
          <w:tcPr>
            <w:tcW w:type="dxa" w:w="822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新入职员工合同和雇主险已处理或有明确待办</w:t>
            </w:r>
          </w:p>
        </w:tc>
        <w:tc>
          <w:tcPr>
            <w:tcW w:type="dxa" w:w="96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w:t>
            </w:r>
          </w:p>
        </w:tc>
      </w:tr>
      <w:tr>
        <w:tc>
          <w:tcPr>
            <w:tcW w:type="dxa" w:w="8220"/>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今日预支均已登记时间、金额、用途和项目</w:t>
            </w:r>
          </w:p>
        </w:tc>
        <w:tc>
          <w:tcPr>
            <w:tcW w:type="dxa" w:w="964"/>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w:t>
            </w:r>
          </w:p>
        </w:tc>
      </w:tr>
      <w:tr>
        <w:tc>
          <w:tcPr>
            <w:tcW w:type="dxa" w:w="8220"/>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离职人员已继续处理交接、减保和工资结算</w:t>
            </w:r>
          </w:p>
        </w:tc>
        <w:tc>
          <w:tcPr>
            <w:tcW w:type="dxa" w:w="96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w:t>
            </w:r>
          </w:p>
        </w:tc>
      </w:tr>
      <w:tr>
        <w:tc>
          <w:tcPr>
            <w:tcW w:type="dxa" w:w="8220"/>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没有在聊天群发送完整身份证、银行卡或工资信息</w:t>
            </w:r>
          </w:p>
        </w:tc>
        <w:tc>
          <w:tcPr>
            <w:tcW w:type="dxa" w:w="964"/>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w:t>
            </w:r>
          </w:p>
        </w:tc>
      </w:tr>
    </w:tbl>
    <w:p>
      <w:pPr>
        <w:spacing w:before="0" w:after="60" w:line="312" w:lineRule="auto"/>
      </w:pPr>
    </w:p>
    <w:p>
      <w:pPr>
        <w:pStyle w:val="Heading1"/>
        <w:spacing w:before="200" w:after="140"/>
        <w:keepNext/>
      </w:pPr>
      <w:r>
        <w:rPr>
          <w:rFonts w:ascii="Arial" w:hAnsi="Arial" w:eastAsia="Arial Unicode MS"/>
          <w:b/>
          <w:color w:val="071B33"/>
          <w:sz w:val="36"/>
        </w:rPr>
        <w:t>附录 A：员工状态说明</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134"/>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状态值</w:t>
            </w:r>
          </w:p>
        </w:tc>
        <w:tc>
          <w:tcPr>
            <w:tcW w:type="dxa" w:w="1701"/>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状态名称</w:t>
            </w:r>
          </w:p>
        </w:tc>
        <w:tc>
          <w:tcPr>
            <w:tcW w:type="dxa" w:w="3402"/>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使用场景</w:t>
            </w:r>
          </w:p>
        </w:tc>
        <w:tc>
          <w:tcPr>
            <w:tcW w:type="dxa" w:w="294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后续动作</w:t>
            </w:r>
          </w:p>
        </w:tc>
      </w:tr>
      <w:tr>
        <w:tc>
          <w:tcPr>
            <w:tcW w:type="dxa" w:w="113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1</w:t>
            </w:r>
          </w:p>
        </w:tc>
        <w:tc>
          <w:tcPr>
            <w:tcW w:type="dxa" w:w="170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待入职</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已建档，尚未确认实际到岗</w:t>
            </w:r>
          </w:p>
        </w:tc>
        <w:tc>
          <w:tcPr>
            <w:tcW w:type="dxa" w:w="294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到岗后确认入职；未到岗改未入职</w:t>
            </w:r>
          </w:p>
        </w:tc>
      </w:tr>
      <w:tr>
        <w:tc>
          <w:tcPr>
            <w:tcW w:type="dxa" w:w="1134"/>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2</w:t>
            </w:r>
          </w:p>
        </w:tc>
        <w:tc>
          <w:tcPr>
            <w:tcW w:type="dxa" w:w="170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在职</w:t>
            </w:r>
          </w:p>
        </w:tc>
        <w:tc>
          <w:tcPr>
            <w:tcW w:type="dxa" w:w="340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已到岗并进入在职管理</w:t>
            </w:r>
          </w:p>
        </w:tc>
        <w:tc>
          <w:tcPr>
            <w:tcW w:type="dxa" w:w="294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合同、雇主险、调岗、预支</w:t>
            </w:r>
          </w:p>
        </w:tc>
      </w:tr>
      <w:tr>
        <w:tc>
          <w:tcPr>
            <w:tcW w:type="dxa" w:w="113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3</w:t>
            </w:r>
          </w:p>
        </w:tc>
        <w:tc>
          <w:tcPr>
            <w:tcW w:type="dxa" w:w="170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离职闭环完成</w:t>
            </w:r>
          </w:p>
        </w:tc>
        <w:tc>
          <w:tcPr>
            <w:tcW w:type="dxa" w:w="294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档案保留并回流人才库</w:t>
            </w:r>
          </w:p>
        </w:tc>
      </w:tr>
      <w:tr>
        <w:tc>
          <w:tcPr>
            <w:tcW w:type="dxa" w:w="1134"/>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4</w:t>
            </w:r>
          </w:p>
        </w:tc>
        <w:tc>
          <w:tcPr>
            <w:tcW w:type="dxa" w:w="1701"/>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黑名单</w:t>
            </w:r>
          </w:p>
        </w:tc>
        <w:tc>
          <w:tcPr>
            <w:tcW w:type="dxa" w:w="3402"/>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存在公司级风险记录</w:t>
            </w:r>
          </w:p>
        </w:tc>
        <w:tc>
          <w:tcPr>
            <w:tcW w:type="dxa" w:w="294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禁止绕过拦截录用</w:t>
            </w:r>
          </w:p>
        </w:tc>
      </w:tr>
      <w:tr>
        <w:tc>
          <w:tcPr>
            <w:tcW w:type="dxa" w:w="1134"/>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5</w:t>
            </w:r>
          </w:p>
        </w:tc>
        <w:tc>
          <w:tcPr>
            <w:tcW w:type="dxa" w:w="1701"/>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未入职</w:t>
            </w:r>
          </w:p>
        </w:tc>
        <w:tc>
          <w:tcPr>
            <w:tcW w:type="dxa" w:w="3402"/>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未到岗或未完成录用</w:t>
            </w:r>
          </w:p>
        </w:tc>
        <w:tc>
          <w:tcPr>
            <w:tcW w:type="dxa" w:w="294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自动进入人才库继续跟进</w:t>
            </w:r>
          </w:p>
        </w:tc>
      </w:tr>
    </w:tbl>
    <w:p>
      <w:pPr>
        <w:spacing w:before="0" w:after="60" w:line="312" w:lineRule="auto"/>
      </w:pPr>
    </w:p>
    <w:p>
      <w:pPr>
        <w:pStyle w:val="Heading1"/>
        <w:spacing w:before="200" w:after="140"/>
        <w:keepNext/>
      </w:pPr>
      <w:r>
        <w:rPr>
          <w:rFonts w:ascii="Arial" w:hAnsi="Arial" w:eastAsia="Arial Unicode MS"/>
          <w:b/>
          <w:color w:val="071B33"/>
          <w:sz w:val="36"/>
        </w:rPr>
        <w:t>附录 B：问题反馈模板</w:t>
      </w:r>
    </w:p>
    <w:p>
      <w:pPr>
        <w:spacing w:before="0" w:after="100" w:line="312" w:lineRule="auto"/>
      </w:pPr>
      <w:r>
        <w:rPr>
          <w:rFonts w:ascii="Arial" w:hAnsi="Arial" w:eastAsia="Arial Unicode MS"/>
          <w:b w:val="0"/>
          <w:color w:val="182739"/>
          <w:sz w:val="21"/>
        </w:rPr>
        <w:t>向管理员反馈系统问题时，请复制以下内容填写。不要附员工完整身份证号、银行卡号或密码。</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项目</w:t>
            </w:r>
          </w:p>
        </w:tc>
        <w:tc>
          <w:tcPr>
            <w:tcW w:type="dxa" w:w="6917"/>
            <w:vAlign w:val="center"/>
            <w:tcMar>
              <w:top w:w="95" w:type="dxa"/>
              <w:start w:w="110" w:type="dxa"/>
              <w:bottom w:w="95" w:type="dxa"/>
              <w:end w:w="110" w:type="dxa"/>
            </w:tcMar>
            <w:shd w:fill="071B33"/>
          </w:tcPr>
          <w:p>
            <w:pPr>
              <w:spacing w:after="0" w:line="276" w:lineRule="auto"/>
            </w:pPr>
            <w:r>
              <w:rPr>
                <w:rFonts w:ascii="Arial" w:hAnsi="Arial" w:eastAsia="Arial Unicode MS"/>
                <w:b/>
                <w:color w:val="FFFFFF"/>
                <w:sz w:val="18"/>
              </w:rPr>
              <w:t>填写内容</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发生时间</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年/月/日 时:分</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使用终端</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微信小程序 / 手机网页 / 电脑网页</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账号角色</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驻厂专员</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客户/项目</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填写名称，不发送敏感个人信息</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操作路径</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例如：驻厂 → 在职员工 → 张* → 雇主险</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实际结果</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系统提示或页面现象</w:t>
            </w:r>
          </w:p>
        </w:tc>
      </w:tr>
      <w:tr>
        <w:tc>
          <w:tcPr>
            <w:tcW w:type="dxa" w:w="2268"/>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期望结果</w:t>
            </w:r>
          </w:p>
        </w:tc>
        <w:tc>
          <w:tcPr>
            <w:tcW w:type="dxa" w:w="6917"/>
            <w:vAlign w:val="center"/>
            <w:tcMar>
              <w:top w:w="95" w:type="dxa"/>
              <w:start w:w="110" w:type="dxa"/>
              <w:bottom w:w="95" w:type="dxa"/>
              <w:end w:w="110" w:type="dxa"/>
            </w:tcMar>
          </w:tcPr>
          <w:p>
            <w:pPr>
              <w:spacing w:after="0" w:line="276" w:lineRule="auto"/>
            </w:pPr>
            <w:r>
              <w:rPr>
                <w:rFonts w:ascii="Arial" w:hAnsi="Arial" w:eastAsia="Arial Unicode MS"/>
                <w:b w:val="0"/>
                <w:color w:val="182739"/>
                <w:sz w:val="18"/>
              </w:rPr>
              <w:t>希望完成的业务动作</w:t>
            </w:r>
          </w:p>
        </w:tc>
      </w:tr>
      <w:tr>
        <w:tc>
          <w:tcPr>
            <w:tcW w:type="dxa" w:w="2268"/>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截图</w:t>
            </w:r>
          </w:p>
        </w:tc>
        <w:tc>
          <w:tcPr>
            <w:tcW w:type="dxa" w:w="6917"/>
            <w:vAlign w:val="center"/>
            <w:tcMar>
              <w:top w:w="95" w:type="dxa"/>
              <w:start w:w="110" w:type="dxa"/>
              <w:bottom w:w="95" w:type="dxa"/>
              <w:end w:w="110" w:type="dxa"/>
            </w:tcMar>
            <w:shd w:fill="F4F8FB"/>
          </w:tcPr>
          <w:p>
            <w:pPr>
              <w:spacing w:after="0" w:line="276" w:lineRule="auto"/>
            </w:pPr>
            <w:r>
              <w:rPr>
                <w:rFonts w:ascii="Arial" w:hAnsi="Arial" w:eastAsia="Arial Unicode MS"/>
                <w:b w:val="0"/>
                <w:color w:val="182739"/>
                <w:sz w:val="18"/>
              </w:rPr>
              <w:t>可截页面；先遮挡身份证、手机号、银行卡、工资</w:t>
            </w:r>
          </w:p>
        </w:tc>
      </w:tr>
    </w:tbl>
    <w:p>
      <w:pPr>
        <w:spacing w:before="0" w:after="60" w:line="312" w:lineRule="auto"/>
      </w:pPr>
    </w:p>
    <w:tbl>
      <w:tblPr>
        <w:tblW w:type="auto" w:w="0"/>
        <w:tblLook w:firstColumn="1" w:firstRow="1" w:lastColumn="0" w:lastRow="0" w:noHBand="0" w:noVBand="1" w:val="04A0"/>
      </w:tblPr>
      <w:tblGrid>
        <w:gridCol w:w="9972"/>
      </w:tblGrid>
      <w:tr>
        <w:tc>
          <w:tcPr>
            <w:tcW w:type="dxa" w:w="9972"/>
            <w:shd w:fill="EAF8F1"/>
            <w:tcMar>
              <w:top w:w="120" w:type="dxa"/>
              <w:start w:w="180" w:type="dxa"/>
              <w:bottom w:w="120" w:type="dxa"/>
              <w:end w:w="180" w:type="dxa"/>
            </w:tcMar>
          </w:tcPr>
          <w:p>
            <w:r>
              <w:rPr>
                <w:rFonts w:ascii="Arial" w:hAnsi="Arial" w:eastAsia="Arial Unicode MS"/>
                <w:b/>
                <w:color w:val="16A36A"/>
                <w:sz w:val="21"/>
              </w:rPr>
              <w:t xml:space="preserve">培训完成标准　</w:t>
            </w:r>
            <w:r>
              <w:rPr>
                <w:rFonts w:ascii="Arial" w:hAnsi="Arial" w:eastAsia="Arial Unicode MS"/>
                <w:b w:val="0"/>
                <w:color w:val="182739"/>
                <w:sz w:val="21"/>
              </w:rPr>
              <w:t>驻厂专员应能独立完成：新增员工 → 确认入职 → 登记合同/雇主险 → 登记预支 → 办理离职闭环。</w:t>
            </w:r>
          </w:p>
        </w:tc>
      </w:tr>
    </w:tbl>
    <w:p>
      <w:pPr>
        <w:spacing w:before="0" w:after="40" w:line="312" w:lineRule="auto"/>
      </w:pP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b w:val="0"/>
        <w:color w:val="617184"/>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b w:val="0"/>
        <w:color w:val="617184"/>
        <w:sz w:val="17"/>
      </w:rPr>
      <w:t>优益数字化管理系统｜驻厂专员使用手册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71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B294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EA5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