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22E" w:rsidRPr="0049102F" w:rsidRDefault="00EB022E" w:rsidP="00EB022E">
      <w:pPr>
        <w:spacing w:line="240" w:lineRule="auto"/>
        <w:jc w:val="center"/>
        <w:rPr>
          <w:rFonts w:ascii="Arial Black" w:hAnsi="Arial Black" w:cs="Arial"/>
          <w:b/>
          <w:noProof/>
          <w:sz w:val="44"/>
          <w:szCs w:val="44"/>
        </w:rPr>
      </w:pPr>
      <w:r w:rsidRPr="0049102F">
        <w:rPr>
          <w:rFonts w:ascii="Arial Black" w:hAnsi="Arial Black" w:cs="Arial"/>
          <w:b/>
          <w:noProof/>
          <w:sz w:val="44"/>
          <w:szCs w:val="44"/>
        </w:rPr>
        <w:t>ST</w:t>
      </w:r>
      <w:r>
        <w:rPr>
          <w:rFonts w:ascii="Arial Black" w:hAnsi="Arial Black" w:cs="Arial"/>
          <w:b/>
          <w:noProof/>
          <w:sz w:val="44"/>
          <w:szCs w:val="44"/>
        </w:rPr>
        <w:t>.</w:t>
      </w:r>
      <w:r w:rsidRPr="0049102F">
        <w:rPr>
          <w:rFonts w:ascii="Arial Black" w:hAnsi="Arial Black" w:cs="Arial"/>
          <w:b/>
          <w:noProof/>
          <w:sz w:val="44"/>
          <w:szCs w:val="44"/>
        </w:rPr>
        <w:t>XAVIER,S COLLEGE</w:t>
      </w:r>
    </w:p>
    <w:p w:rsidR="00EB022E" w:rsidRDefault="00EB022E" w:rsidP="00EB022E">
      <w:pPr>
        <w:spacing w:line="240" w:lineRule="auto"/>
        <w:jc w:val="center"/>
        <w:rPr>
          <w:rFonts w:cs="Times New Roman"/>
          <w:b/>
          <w:noProof/>
          <w:sz w:val="28"/>
          <w:szCs w:val="28"/>
        </w:rPr>
      </w:pPr>
      <w:r w:rsidRPr="0049102F">
        <w:rPr>
          <w:rFonts w:cs="Times New Roman"/>
          <w:b/>
          <w:noProof/>
          <w:sz w:val="28"/>
          <w:szCs w:val="28"/>
        </w:rPr>
        <w:t>Maitighar, Kathmandu</w:t>
      </w:r>
    </w:p>
    <w:p w:rsidR="00EB022E" w:rsidRPr="00873E66" w:rsidRDefault="00EB022E" w:rsidP="00EB022E">
      <w:pPr>
        <w:spacing w:line="240" w:lineRule="auto"/>
        <w:jc w:val="center"/>
        <w:rPr>
          <w:rFonts w:cs="Times New Roman"/>
          <w:b/>
          <w:noProof/>
          <w:sz w:val="28"/>
          <w:szCs w:val="28"/>
        </w:rPr>
      </w:pPr>
      <w:r>
        <w:rPr>
          <w:rFonts w:cs="Times New Roman"/>
          <w:b/>
          <w:noProof/>
          <w:sz w:val="28"/>
          <w:szCs w:val="28"/>
        </w:rPr>
        <w:t>(Affiliated to Tribhuwan University)</w:t>
      </w:r>
    </w:p>
    <w:p w:rsidR="00EB022E" w:rsidRDefault="00EB022E" w:rsidP="00EB022E">
      <w:pPr>
        <w:jc w:val="center"/>
      </w:pPr>
      <w:r>
        <w:rPr>
          <w:noProof/>
        </w:rPr>
        <w:drawing>
          <wp:anchor distT="0" distB="0" distL="114300" distR="114300" simplePos="0" relativeHeight="251659264" behindDoc="0" locked="0" layoutInCell="1" allowOverlap="1" wp14:anchorId="7AE0F420" wp14:editId="230277FF">
            <wp:simplePos x="0" y="0"/>
            <wp:positionH relativeFrom="margin">
              <wp:posOffset>1736725</wp:posOffset>
            </wp:positionH>
            <wp:positionV relativeFrom="margin">
              <wp:posOffset>1144905</wp:posOffset>
            </wp:positionV>
            <wp:extent cx="2374900" cy="2317750"/>
            <wp:effectExtent l="19050" t="0" r="6350" b="0"/>
            <wp:wrapSquare wrapText="bothSides"/>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374900" cy="2317750"/>
                    </a:xfrm>
                    <a:prstGeom prst="rect">
                      <a:avLst/>
                    </a:prstGeom>
                    <a:noFill/>
                    <a:ln w="9525">
                      <a:noFill/>
                      <a:miter lim="800000"/>
                      <a:headEnd/>
                      <a:tailEnd/>
                    </a:ln>
                  </pic:spPr>
                </pic:pic>
              </a:graphicData>
            </a:graphic>
          </wp:anchor>
        </w:drawing>
      </w:r>
    </w:p>
    <w:p w:rsidR="00EB022E" w:rsidRDefault="00EB022E" w:rsidP="00EB022E">
      <w:pPr>
        <w:jc w:val="center"/>
      </w:pPr>
    </w:p>
    <w:p w:rsidR="00EB022E" w:rsidRDefault="00EB022E" w:rsidP="00EB022E">
      <w:pPr>
        <w:jc w:val="center"/>
      </w:pPr>
    </w:p>
    <w:p w:rsidR="00EB022E" w:rsidRDefault="00EB022E" w:rsidP="00EB022E">
      <w:pPr>
        <w:jc w:val="center"/>
      </w:pPr>
    </w:p>
    <w:p w:rsidR="00EB022E" w:rsidRDefault="00EB022E" w:rsidP="00EB022E">
      <w:pPr>
        <w:jc w:val="center"/>
      </w:pPr>
    </w:p>
    <w:p w:rsidR="00EB022E" w:rsidRPr="00DB46C7" w:rsidRDefault="00EB022E" w:rsidP="00EB022E">
      <w:pPr>
        <w:rPr>
          <w:b/>
        </w:rPr>
      </w:pPr>
    </w:p>
    <w:p w:rsidR="00EB022E" w:rsidRDefault="00EB022E" w:rsidP="00EB022E">
      <w:pPr>
        <w:jc w:val="center"/>
        <w:rPr>
          <w:rFonts w:cs="Times New Roman"/>
          <w:b/>
          <w:sz w:val="32"/>
          <w:szCs w:val="32"/>
          <w:u w:val="single"/>
        </w:rPr>
      </w:pPr>
    </w:p>
    <w:p w:rsidR="00EB022E" w:rsidRDefault="00EB022E" w:rsidP="00EB022E">
      <w:pPr>
        <w:jc w:val="center"/>
        <w:rPr>
          <w:rFonts w:cs="Times New Roman"/>
          <w:b/>
          <w:sz w:val="32"/>
          <w:szCs w:val="32"/>
          <w:u w:val="single"/>
        </w:rPr>
      </w:pPr>
    </w:p>
    <w:p w:rsidR="00EB022E" w:rsidRDefault="00EB022E" w:rsidP="00EB022E">
      <w:pPr>
        <w:jc w:val="center"/>
        <w:rPr>
          <w:rFonts w:cs="Times New Roman"/>
          <w:b/>
          <w:sz w:val="32"/>
          <w:szCs w:val="32"/>
          <w:u w:val="single"/>
        </w:rPr>
      </w:pPr>
    </w:p>
    <w:p w:rsidR="00EB022E" w:rsidRDefault="00EB022E" w:rsidP="00EB022E">
      <w:pPr>
        <w:jc w:val="center"/>
        <w:rPr>
          <w:rFonts w:cs="Times New Roman"/>
          <w:b/>
          <w:sz w:val="32"/>
          <w:szCs w:val="32"/>
          <w:u w:val="single"/>
        </w:rPr>
      </w:pPr>
      <w:r>
        <w:rPr>
          <w:rFonts w:ascii="Times New Roman" w:eastAsia="Times New Roman" w:hAnsi="Times New Roman" w:cs="Times New Roman"/>
          <w:b/>
          <w:bCs/>
          <w:color w:val="000000"/>
          <w:sz w:val="28"/>
          <w:szCs w:val="28"/>
          <w:u w:val="single"/>
        </w:rPr>
        <w:t>DATABASE MANAGEMENT SYSTEM</w:t>
      </w:r>
    </w:p>
    <w:p w:rsidR="00EB022E" w:rsidRPr="00DB46C7" w:rsidRDefault="00EB022E" w:rsidP="00EB022E">
      <w:pPr>
        <w:jc w:val="center"/>
        <w:rPr>
          <w:rFonts w:cs="Times New Roman"/>
          <w:b/>
          <w:sz w:val="32"/>
          <w:szCs w:val="32"/>
          <w:u w:val="single"/>
        </w:rPr>
      </w:pPr>
      <w:r>
        <w:rPr>
          <w:rFonts w:cs="Times New Roman"/>
          <w:b/>
          <w:sz w:val="32"/>
          <w:szCs w:val="32"/>
          <w:u w:val="single"/>
        </w:rPr>
        <w:t>THEORY ASSIGNMENT</w:t>
      </w:r>
    </w:p>
    <w:p w:rsidR="00EB022E" w:rsidRDefault="00EB022E" w:rsidP="00EB022E">
      <w:pPr>
        <w:tabs>
          <w:tab w:val="left" w:pos="3240"/>
        </w:tabs>
        <w:spacing w:line="240" w:lineRule="auto"/>
        <w:rPr>
          <w:rFonts w:cs="Times New Roman"/>
          <w:sz w:val="28"/>
          <w:szCs w:val="28"/>
        </w:rPr>
      </w:pPr>
      <w:r>
        <w:rPr>
          <w:rFonts w:cs="Times New Roman"/>
          <w:b/>
          <w:bCs/>
          <w:sz w:val="28"/>
          <w:szCs w:val="28"/>
        </w:rPr>
        <w:tab/>
        <w:t xml:space="preserve">       Submitted by:</w:t>
      </w:r>
      <w:r>
        <w:rPr>
          <w:rFonts w:cs="Times New Roman"/>
          <w:sz w:val="28"/>
          <w:szCs w:val="28"/>
        </w:rPr>
        <w:tab/>
      </w:r>
      <w:r>
        <w:rPr>
          <w:rFonts w:cs="Times New Roman"/>
          <w:sz w:val="28"/>
          <w:szCs w:val="28"/>
        </w:rPr>
        <w:tab/>
      </w:r>
      <w:r>
        <w:rPr>
          <w:rFonts w:cs="Times New Roman"/>
          <w:sz w:val="28"/>
          <w:szCs w:val="28"/>
        </w:rPr>
        <w:tab/>
      </w:r>
    </w:p>
    <w:p w:rsidR="00EB022E" w:rsidRDefault="00EB022E" w:rsidP="00EB022E">
      <w:pPr>
        <w:tabs>
          <w:tab w:val="left" w:pos="3240"/>
        </w:tabs>
        <w:spacing w:line="240" w:lineRule="auto"/>
        <w:rPr>
          <w:rFonts w:cs="Times New Roman"/>
          <w:sz w:val="28"/>
          <w:szCs w:val="28"/>
        </w:rPr>
      </w:pPr>
      <w:r>
        <w:rPr>
          <w:rFonts w:cs="Times New Roman"/>
          <w:sz w:val="28"/>
          <w:szCs w:val="28"/>
        </w:rPr>
        <w:tab/>
      </w:r>
      <w:r>
        <w:rPr>
          <w:rFonts w:cs="Times New Roman"/>
          <w:sz w:val="28"/>
          <w:szCs w:val="28"/>
        </w:rPr>
        <w:tab/>
        <w:t>Abhishek Tamrakar</w:t>
      </w:r>
    </w:p>
    <w:p w:rsidR="00EB022E" w:rsidRDefault="00EB022E" w:rsidP="00EB022E">
      <w:pPr>
        <w:spacing w:line="240" w:lineRule="auto"/>
        <w:jc w:val="center"/>
        <w:rPr>
          <w:rFonts w:cs="Times New Roman"/>
          <w:sz w:val="28"/>
          <w:szCs w:val="28"/>
        </w:rPr>
      </w:pPr>
      <w:r>
        <w:rPr>
          <w:rFonts w:cs="Times New Roman"/>
          <w:sz w:val="28"/>
          <w:szCs w:val="28"/>
        </w:rPr>
        <w:t xml:space="preserve"> 013BScCSIT003</w:t>
      </w:r>
      <w:r w:rsidRPr="00DB46C7">
        <w:rPr>
          <w:rFonts w:cs="Times New Roman"/>
          <w:sz w:val="28"/>
          <w:szCs w:val="28"/>
        </w:rPr>
        <w:t xml:space="preserve"> </w:t>
      </w:r>
    </w:p>
    <w:p w:rsidR="00EB022E" w:rsidRPr="0049102F" w:rsidRDefault="00EB022E" w:rsidP="00EB022E">
      <w:pPr>
        <w:spacing w:line="240" w:lineRule="auto"/>
        <w:jc w:val="center"/>
        <w:rPr>
          <w:rFonts w:cs="Times New Roman"/>
          <w:sz w:val="28"/>
          <w:szCs w:val="28"/>
        </w:rPr>
      </w:pPr>
      <w:r>
        <w:rPr>
          <w:rFonts w:cs="Times New Roman"/>
          <w:sz w:val="28"/>
          <w:szCs w:val="28"/>
        </w:rPr>
        <w:t>2</w:t>
      </w:r>
      <w:r w:rsidRPr="00DB46C7">
        <w:rPr>
          <w:rFonts w:cs="Times New Roman"/>
          <w:sz w:val="28"/>
          <w:szCs w:val="28"/>
          <w:vertAlign w:val="superscript"/>
        </w:rPr>
        <w:t>nd</w:t>
      </w:r>
      <w:r>
        <w:rPr>
          <w:rFonts w:cs="Times New Roman"/>
          <w:sz w:val="28"/>
          <w:szCs w:val="28"/>
        </w:rPr>
        <w:t xml:space="preserve"> year/ 4</w:t>
      </w:r>
      <w:r w:rsidRPr="00DB46C7">
        <w:rPr>
          <w:rFonts w:cs="Times New Roman"/>
          <w:sz w:val="28"/>
          <w:szCs w:val="28"/>
          <w:vertAlign w:val="superscript"/>
        </w:rPr>
        <w:t>th</w:t>
      </w:r>
      <w:r>
        <w:rPr>
          <w:rFonts w:cs="Times New Roman"/>
          <w:sz w:val="28"/>
          <w:szCs w:val="28"/>
        </w:rPr>
        <w:t xml:space="preserve"> semester</w:t>
      </w:r>
    </w:p>
    <w:p w:rsidR="00EB022E" w:rsidRDefault="00EB022E" w:rsidP="00EB022E">
      <w:pPr>
        <w:spacing w:line="240" w:lineRule="auto"/>
        <w:rPr>
          <w:rFonts w:cs="Times New Roman"/>
          <w:b/>
          <w:sz w:val="28"/>
          <w:szCs w:val="28"/>
        </w:rPr>
      </w:pPr>
    </w:p>
    <w:p w:rsidR="00EB022E" w:rsidRPr="0049102F" w:rsidRDefault="00EB022E" w:rsidP="00EB022E">
      <w:pPr>
        <w:spacing w:line="240" w:lineRule="auto"/>
        <w:ind w:left="3420" w:firstLine="180"/>
        <w:rPr>
          <w:rFonts w:cs="Times New Roman"/>
          <w:b/>
          <w:sz w:val="28"/>
          <w:szCs w:val="28"/>
        </w:rPr>
      </w:pPr>
      <w:r>
        <w:rPr>
          <w:rFonts w:cs="Times New Roman"/>
          <w:b/>
          <w:sz w:val="28"/>
          <w:szCs w:val="28"/>
        </w:rPr>
        <w:t xml:space="preserve">   </w:t>
      </w:r>
      <w:r w:rsidRPr="0049102F">
        <w:rPr>
          <w:rFonts w:cs="Times New Roman"/>
          <w:b/>
          <w:sz w:val="28"/>
          <w:szCs w:val="28"/>
        </w:rPr>
        <w:t>Submitted to</w:t>
      </w:r>
      <w:r>
        <w:rPr>
          <w:rFonts w:cs="Times New Roman"/>
          <w:b/>
          <w:sz w:val="28"/>
          <w:szCs w:val="28"/>
        </w:rPr>
        <w:t>:</w:t>
      </w:r>
    </w:p>
    <w:tbl>
      <w:tblPr>
        <w:tblStyle w:val="TableGrid"/>
        <w:tblW w:w="7866" w:type="dxa"/>
        <w:tblInd w:w="757" w:type="dxa"/>
        <w:tblLook w:val="04A0" w:firstRow="1" w:lastRow="0" w:firstColumn="1" w:lastColumn="0" w:noHBand="0" w:noVBand="1"/>
      </w:tblPr>
      <w:tblGrid>
        <w:gridCol w:w="4135"/>
        <w:gridCol w:w="3731"/>
      </w:tblGrid>
      <w:tr w:rsidR="00EB022E" w:rsidRPr="0049102F" w:rsidTr="00495AB8">
        <w:trPr>
          <w:trHeight w:val="1376"/>
        </w:trPr>
        <w:tc>
          <w:tcPr>
            <w:tcW w:w="4135" w:type="dxa"/>
          </w:tcPr>
          <w:p w:rsidR="00EB022E" w:rsidRPr="00DB46C7" w:rsidRDefault="00EB022E" w:rsidP="00495AB8">
            <w:pPr>
              <w:rPr>
                <w:rFonts w:cs="Times New Roman"/>
                <w:b/>
                <w:sz w:val="28"/>
                <w:szCs w:val="28"/>
              </w:rPr>
            </w:pPr>
            <w:proofErr w:type="spellStart"/>
            <w:r>
              <w:rPr>
                <w:rFonts w:cs="Times New Roman"/>
                <w:b/>
                <w:sz w:val="28"/>
                <w:szCs w:val="28"/>
              </w:rPr>
              <w:t>Er</w:t>
            </w:r>
            <w:proofErr w:type="spellEnd"/>
            <w:r>
              <w:rPr>
                <w:rFonts w:cs="Times New Roman"/>
                <w:b/>
                <w:sz w:val="28"/>
                <w:szCs w:val="28"/>
              </w:rPr>
              <w:t xml:space="preserve">. Sanjay Kumar </w:t>
            </w:r>
            <w:proofErr w:type="spellStart"/>
            <w:r>
              <w:rPr>
                <w:rFonts w:cs="Times New Roman"/>
                <w:b/>
                <w:sz w:val="28"/>
                <w:szCs w:val="28"/>
              </w:rPr>
              <w:t>Yadav</w:t>
            </w:r>
            <w:proofErr w:type="spellEnd"/>
          </w:p>
          <w:p w:rsidR="00EB022E" w:rsidRPr="0049102F" w:rsidRDefault="00EB022E" w:rsidP="00495AB8">
            <w:pPr>
              <w:rPr>
                <w:rFonts w:cs="Times New Roman"/>
                <w:sz w:val="28"/>
                <w:szCs w:val="28"/>
              </w:rPr>
            </w:pPr>
            <w:r>
              <w:rPr>
                <w:rFonts w:cs="Times New Roman"/>
                <w:sz w:val="28"/>
                <w:szCs w:val="28"/>
              </w:rPr>
              <w:t xml:space="preserve">(Lecturer, </w:t>
            </w:r>
            <w:proofErr w:type="spellStart"/>
            <w:r>
              <w:rPr>
                <w:rFonts w:cs="Times New Roman"/>
                <w:sz w:val="28"/>
                <w:szCs w:val="28"/>
              </w:rPr>
              <w:t>St.Xavier’s</w:t>
            </w:r>
            <w:proofErr w:type="spellEnd"/>
            <w:r>
              <w:rPr>
                <w:rFonts w:cs="Times New Roman"/>
                <w:sz w:val="28"/>
                <w:szCs w:val="28"/>
              </w:rPr>
              <w:t xml:space="preserve"> College )</w:t>
            </w:r>
          </w:p>
        </w:tc>
        <w:tc>
          <w:tcPr>
            <w:tcW w:w="3731" w:type="dxa"/>
          </w:tcPr>
          <w:p w:rsidR="00EB022E" w:rsidRPr="0049102F" w:rsidRDefault="00EB022E" w:rsidP="00495AB8">
            <w:pPr>
              <w:rPr>
                <w:rFonts w:cs="Times New Roman"/>
                <w:sz w:val="28"/>
                <w:szCs w:val="28"/>
              </w:rPr>
            </w:pPr>
          </w:p>
        </w:tc>
      </w:tr>
    </w:tbl>
    <w:p w:rsidR="00EB022E" w:rsidRDefault="00EB022E">
      <w:pPr>
        <w:rPr>
          <w:rFonts w:ascii="Times New Roman" w:eastAsia="Times New Roman" w:hAnsi="Times New Roman" w:cs="Times New Roman"/>
          <w:b/>
          <w:bCs/>
          <w:color w:val="000000"/>
          <w:sz w:val="28"/>
          <w:szCs w:val="28"/>
          <w:u w:val="single"/>
        </w:rPr>
      </w:pPr>
    </w:p>
    <w:p w:rsidR="00EB022E" w:rsidRDefault="00EB022E">
      <w:pPr>
        <w:rPr>
          <w:b/>
        </w:rPr>
      </w:pPr>
    </w:p>
    <w:p w:rsidR="00EB022E" w:rsidRDefault="00EB022E">
      <w:pPr>
        <w:rPr>
          <w:b/>
        </w:rPr>
      </w:pPr>
    </w:p>
    <w:p w:rsidR="00A735FC" w:rsidRDefault="008C13BF">
      <w:pPr>
        <w:rPr>
          <w:b/>
        </w:rPr>
      </w:pPr>
      <w:r w:rsidRPr="008C13BF">
        <w:rPr>
          <w:b/>
        </w:rPr>
        <w:lastRenderedPageBreak/>
        <w:t>GRANT AND REVOKE AUTHORIZATION:</w:t>
      </w:r>
    </w:p>
    <w:p w:rsidR="008C13BF" w:rsidRPr="008C13BF" w:rsidRDefault="008C13BF" w:rsidP="008C13BF">
      <w:pPr>
        <w:shd w:val="clear" w:color="auto" w:fill="FFFFFF"/>
        <w:spacing w:before="120" w:after="120" w:line="240" w:lineRule="auto"/>
        <w:textAlignment w:val="baseline"/>
        <w:rPr>
          <w:rFonts w:ascii="Tahoma" w:eastAsia="Times New Roman" w:hAnsi="Tahoma" w:cs="Tahoma"/>
          <w:color w:val="000000"/>
          <w:sz w:val="20"/>
          <w:szCs w:val="20"/>
        </w:rPr>
      </w:pPr>
      <w:r w:rsidRPr="008C13BF">
        <w:rPr>
          <w:rFonts w:ascii="Tahoma" w:eastAsia="Times New Roman" w:hAnsi="Tahoma" w:cs="Tahoma"/>
          <w:color w:val="000000"/>
          <w:sz w:val="20"/>
          <w:szCs w:val="20"/>
        </w:rPr>
        <w:t>To grant or revoke a privilege using one of the SQL GRANT or REVOKE statements, the user must have the following permissions for the GRANT/REVOKE statement to succeed:</w:t>
      </w:r>
    </w:p>
    <w:p w:rsidR="008C13BF" w:rsidRPr="008C13BF" w:rsidRDefault="008C13BF" w:rsidP="008C13BF">
      <w:pPr>
        <w:numPr>
          <w:ilvl w:val="0"/>
          <w:numId w:val="1"/>
        </w:numPr>
        <w:shd w:val="clear" w:color="auto" w:fill="FFFFFF"/>
        <w:spacing w:before="60" w:after="0" w:line="240" w:lineRule="auto"/>
        <w:ind w:left="0" w:firstLine="0"/>
        <w:textAlignment w:val="baseline"/>
        <w:rPr>
          <w:rFonts w:ascii="Tahoma" w:eastAsia="Times New Roman" w:hAnsi="Tahoma" w:cs="Tahoma"/>
          <w:color w:val="000000"/>
          <w:sz w:val="20"/>
          <w:szCs w:val="20"/>
        </w:rPr>
      </w:pPr>
      <w:hyperlink r:id="rId6" w:tgtFrame="_self" w:tooltip="Superuser" w:history="1">
        <w:proofErr w:type="spellStart"/>
        <w:r w:rsidRPr="008C13BF">
          <w:rPr>
            <w:rFonts w:ascii="Tahoma" w:eastAsia="Times New Roman" w:hAnsi="Tahoma" w:cs="Tahoma"/>
            <w:sz w:val="20"/>
            <w:szCs w:val="20"/>
          </w:rPr>
          <w:t>Superuser</w:t>
        </w:r>
        <w:proofErr w:type="spellEnd"/>
      </w:hyperlink>
      <w:r w:rsidRPr="008C13BF">
        <w:rPr>
          <w:rFonts w:ascii="Tahoma" w:eastAsia="Times New Roman" w:hAnsi="Tahoma" w:cs="Tahoma"/>
          <w:sz w:val="24"/>
          <w:szCs w:val="24"/>
        </w:rPr>
        <w:t> </w:t>
      </w:r>
      <w:r w:rsidRPr="008C13BF">
        <w:rPr>
          <w:rFonts w:ascii="Tahoma" w:eastAsia="Times New Roman" w:hAnsi="Tahoma" w:cs="Tahoma"/>
          <w:color w:val="000000"/>
          <w:sz w:val="20"/>
          <w:szCs w:val="20"/>
        </w:rPr>
        <w:t>or privilege WITH GRANT OPTION</w:t>
      </w:r>
    </w:p>
    <w:p w:rsidR="008C13BF" w:rsidRPr="008C13BF" w:rsidRDefault="008C13BF" w:rsidP="008C13BF">
      <w:pPr>
        <w:numPr>
          <w:ilvl w:val="0"/>
          <w:numId w:val="1"/>
        </w:numPr>
        <w:shd w:val="clear" w:color="auto" w:fill="FFFFFF"/>
        <w:spacing w:before="60" w:after="0" w:line="240" w:lineRule="auto"/>
        <w:ind w:left="0" w:firstLine="0"/>
        <w:textAlignment w:val="baseline"/>
        <w:rPr>
          <w:rFonts w:ascii="Tahoma" w:eastAsia="Times New Roman" w:hAnsi="Tahoma" w:cs="Tahoma"/>
          <w:color w:val="000000"/>
          <w:sz w:val="20"/>
          <w:szCs w:val="20"/>
        </w:rPr>
      </w:pPr>
      <w:r w:rsidRPr="008C13BF">
        <w:rPr>
          <w:rFonts w:ascii="Tahoma" w:eastAsia="Times New Roman" w:hAnsi="Tahoma" w:cs="Tahoma"/>
          <w:color w:val="000000"/>
          <w:sz w:val="20"/>
          <w:szCs w:val="20"/>
        </w:rPr>
        <w:t>USAGE privilege on the schema</w:t>
      </w:r>
    </w:p>
    <w:p w:rsidR="008C13BF" w:rsidRPr="008C13BF" w:rsidRDefault="008C13BF" w:rsidP="008C13BF">
      <w:pPr>
        <w:numPr>
          <w:ilvl w:val="0"/>
          <w:numId w:val="1"/>
        </w:numPr>
        <w:shd w:val="clear" w:color="auto" w:fill="FFFFFF"/>
        <w:spacing w:before="60" w:after="0" w:line="240" w:lineRule="auto"/>
        <w:ind w:left="0" w:firstLine="0"/>
        <w:textAlignment w:val="baseline"/>
        <w:rPr>
          <w:rFonts w:ascii="Tahoma" w:eastAsia="Times New Roman" w:hAnsi="Tahoma" w:cs="Tahoma"/>
          <w:color w:val="000000"/>
          <w:sz w:val="20"/>
          <w:szCs w:val="20"/>
        </w:rPr>
      </w:pPr>
      <w:r w:rsidRPr="008C13BF">
        <w:rPr>
          <w:rFonts w:ascii="Tahoma" w:eastAsia="Times New Roman" w:hAnsi="Tahoma" w:cs="Tahoma"/>
          <w:color w:val="000000"/>
          <w:sz w:val="20"/>
          <w:szCs w:val="20"/>
        </w:rPr>
        <w:t>Appropriate privileges on the object</w:t>
      </w:r>
    </w:p>
    <w:p w:rsidR="008C13BF" w:rsidRPr="008C13BF" w:rsidRDefault="008C13BF" w:rsidP="008C13BF">
      <w:pPr>
        <w:shd w:val="clear" w:color="auto" w:fill="FFFFFF"/>
        <w:spacing w:before="120" w:after="120" w:line="240" w:lineRule="auto"/>
        <w:textAlignment w:val="baseline"/>
        <w:rPr>
          <w:rFonts w:ascii="Tahoma" w:eastAsia="Times New Roman" w:hAnsi="Tahoma" w:cs="Tahoma"/>
          <w:sz w:val="20"/>
          <w:szCs w:val="20"/>
        </w:rPr>
      </w:pPr>
      <w:r w:rsidRPr="008C13BF">
        <w:rPr>
          <w:rFonts w:ascii="Tahoma" w:eastAsia="Times New Roman" w:hAnsi="Tahoma" w:cs="Tahoma"/>
          <w:color w:val="000000"/>
          <w:sz w:val="20"/>
          <w:szCs w:val="20"/>
        </w:rPr>
        <w:t xml:space="preserve">The syntax for granting and revoking privileges is different for each database object, such as schema, database, table, view, </w:t>
      </w:r>
      <w:r w:rsidRPr="008C13BF">
        <w:rPr>
          <w:rFonts w:ascii="Tahoma" w:eastAsia="Times New Roman" w:hAnsi="Tahoma" w:cs="Tahoma"/>
          <w:sz w:val="20"/>
          <w:szCs w:val="20"/>
        </w:rPr>
        <w:t>sequence, procedure, function, resource pool, and so on.</w:t>
      </w:r>
    </w:p>
    <w:p w:rsidR="008C13BF" w:rsidRPr="008C13BF" w:rsidRDefault="008C13BF" w:rsidP="008C13BF">
      <w:pPr>
        <w:shd w:val="clear" w:color="auto" w:fill="FFFFFF"/>
        <w:spacing w:before="120" w:after="120" w:line="240" w:lineRule="auto"/>
        <w:textAlignment w:val="baseline"/>
        <w:rPr>
          <w:rFonts w:ascii="Tahoma" w:eastAsia="Times New Roman" w:hAnsi="Tahoma" w:cs="Tahoma"/>
          <w:color w:val="000000"/>
          <w:sz w:val="20"/>
          <w:szCs w:val="20"/>
        </w:rPr>
      </w:pPr>
      <w:r w:rsidRPr="008C13BF">
        <w:rPr>
          <w:rFonts w:ascii="Tahoma" w:eastAsia="Times New Roman" w:hAnsi="Tahoma" w:cs="Tahoma"/>
          <w:sz w:val="20"/>
          <w:szCs w:val="20"/>
        </w:rPr>
        <w:t xml:space="preserve">Normally, a </w:t>
      </w:r>
      <w:proofErr w:type="spellStart"/>
      <w:r w:rsidRPr="008C13BF">
        <w:rPr>
          <w:rFonts w:ascii="Tahoma" w:eastAsia="Times New Roman" w:hAnsi="Tahoma" w:cs="Tahoma"/>
          <w:sz w:val="20"/>
          <w:szCs w:val="20"/>
        </w:rPr>
        <w:t>superuser</w:t>
      </w:r>
      <w:proofErr w:type="spellEnd"/>
      <w:r w:rsidRPr="008C13BF">
        <w:rPr>
          <w:rFonts w:ascii="Tahoma" w:eastAsia="Times New Roman" w:hAnsi="Tahoma" w:cs="Tahoma"/>
          <w:sz w:val="20"/>
          <w:szCs w:val="20"/>
        </w:rPr>
        <w:t xml:space="preserve"> first</w:t>
      </w:r>
      <w:r w:rsidRPr="008C13BF">
        <w:rPr>
          <w:rFonts w:ascii="Tahoma" w:eastAsia="Times New Roman" w:hAnsi="Tahoma" w:cs="Tahoma"/>
          <w:sz w:val="24"/>
          <w:szCs w:val="24"/>
        </w:rPr>
        <w:t> </w:t>
      </w:r>
      <w:hyperlink r:id="rId7" w:anchor="3046.htm" w:tgtFrame="_self" w:tooltip="CREATE USER" w:history="1">
        <w:r w:rsidRPr="008C13BF">
          <w:rPr>
            <w:rFonts w:ascii="Tahoma" w:eastAsia="Times New Roman" w:hAnsi="Tahoma" w:cs="Tahoma"/>
            <w:sz w:val="20"/>
            <w:szCs w:val="20"/>
          </w:rPr>
          <w:t>creates a user</w:t>
        </w:r>
      </w:hyperlink>
      <w:r w:rsidRPr="008C13BF">
        <w:rPr>
          <w:rFonts w:ascii="Tahoma" w:eastAsia="Times New Roman" w:hAnsi="Tahoma" w:cs="Tahoma"/>
          <w:sz w:val="24"/>
          <w:szCs w:val="24"/>
        </w:rPr>
        <w:t> </w:t>
      </w:r>
      <w:r w:rsidRPr="008C13BF">
        <w:rPr>
          <w:rFonts w:ascii="Tahoma" w:eastAsia="Times New Roman" w:hAnsi="Tahoma" w:cs="Tahoma"/>
          <w:sz w:val="20"/>
          <w:szCs w:val="20"/>
        </w:rPr>
        <w:t xml:space="preserve">and then uses GRANT syntax to define the user's privileges or roles or both. For example, the following </w:t>
      </w:r>
      <w:r w:rsidRPr="008C13BF">
        <w:rPr>
          <w:rFonts w:ascii="Tahoma" w:eastAsia="Times New Roman" w:hAnsi="Tahoma" w:cs="Tahoma"/>
          <w:color w:val="000000"/>
          <w:sz w:val="20"/>
          <w:szCs w:val="20"/>
        </w:rPr>
        <w:t>series of statements creates user Carol and grants Carol access to the</w:t>
      </w:r>
      <w:r w:rsidRPr="008C13BF">
        <w:rPr>
          <w:rFonts w:ascii="Tahoma" w:eastAsia="Times New Roman" w:hAnsi="Tahoma" w:cs="Tahoma"/>
          <w:color w:val="000000"/>
          <w:sz w:val="24"/>
          <w:szCs w:val="24"/>
        </w:rPr>
        <w:t> </w:t>
      </w:r>
      <w:r w:rsidRPr="008C13BF">
        <w:rPr>
          <w:rFonts w:ascii="Courier New" w:eastAsia="Times New Roman" w:hAnsi="Courier New" w:cs="Courier New"/>
          <w:color w:val="000000"/>
          <w:sz w:val="20"/>
          <w:szCs w:val="20"/>
        </w:rPr>
        <w:t>apps</w:t>
      </w:r>
      <w:r w:rsidRPr="008C13BF">
        <w:rPr>
          <w:rFonts w:ascii="Times New Roman" w:eastAsia="Times New Roman" w:hAnsi="Times New Roman" w:cs="Times New Roman"/>
          <w:color w:val="000000"/>
          <w:sz w:val="24"/>
          <w:szCs w:val="24"/>
        </w:rPr>
        <w:t> </w:t>
      </w:r>
      <w:r w:rsidRPr="008C13BF">
        <w:rPr>
          <w:rFonts w:ascii="Tahoma" w:eastAsia="Times New Roman" w:hAnsi="Tahoma" w:cs="Tahoma"/>
          <w:color w:val="000000"/>
          <w:sz w:val="20"/>
          <w:szCs w:val="20"/>
        </w:rPr>
        <w:t>database in the PUBLIC schema and also lets Carol grant SELECT privileges to other users on the</w:t>
      </w:r>
      <w:r w:rsidRPr="008C13BF">
        <w:rPr>
          <w:rFonts w:ascii="Tahoma" w:eastAsia="Times New Roman" w:hAnsi="Tahoma" w:cs="Tahoma"/>
          <w:color w:val="000000"/>
          <w:sz w:val="24"/>
          <w:szCs w:val="24"/>
        </w:rPr>
        <w:t> </w:t>
      </w:r>
      <w:proofErr w:type="spellStart"/>
      <w:r w:rsidRPr="008C13BF">
        <w:rPr>
          <w:rFonts w:ascii="Courier New" w:eastAsia="Times New Roman" w:hAnsi="Courier New" w:cs="Courier New"/>
          <w:color w:val="000000"/>
          <w:sz w:val="20"/>
          <w:szCs w:val="20"/>
        </w:rPr>
        <w:t>applog</w:t>
      </w:r>
      <w:proofErr w:type="spellEnd"/>
      <w:r w:rsidRPr="008C13BF">
        <w:rPr>
          <w:rFonts w:ascii="Times New Roman" w:eastAsia="Times New Roman" w:hAnsi="Times New Roman" w:cs="Times New Roman"/>
          <w:color w:val="000000"/>
          <w:sz w:val="24"/>
          <w:szCs w:val="24"/>
        </w:rPr>
        <w:t> </w:t>
      </w:r>
      <w:r w:rsidRPr="008C13BF">
        <w:rPr>
          <w:rFonts w:ascii="Tahoma" w:eastAsia="Times New Roman" w:hAnsi="Tahoma" w:cs="Tahoma"/>
          <w:color w:val="000000"/>
          <w:sz w:val="20"/>
          <w:szCs w:val="20"/>
        </w:rPr>
        <w:t>table:</w:t>
      </w:r>
    </w:p>
    <w:p w:rsidR="008C13BF" w:rsidRPr="008C13BF" w:rsidRDefault="008C13BF" w:rsidP="008C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Courier New" w:eastAsia="Times New Roman" w:hAnsi="Courier New" w:cs="Courier New"/>
          <w:color w:val="000000"/>
          <w:sz w:val="20"/>
          <w:szCs w:val="20"/>
        </w:rPr>
      </w:pPr>
      <w:r w:rsidRPr="008C13BF">
        <w:rPr>
          <w:rFonts w:ascii="Courier New" w:eastAsia="Times New Roman" w:hAnsi="Courier New" w:cs="Courier New"/>
          <w:color w:val="000000"/>
          <w:sz w:val="20"/>
          <w:szCs w:val="20"/>
        </w:rPr>
        <w:t>=&gt; CREATE USER Carol;</w:t>
      </w:r>
    </w:p>
    <w:p w:rsidR="008C13BF" w:rsidRPr="008C13BF" w:rsidRDefault="008C13BF" w:rsidP="008C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Courier New" w:eastAsia="Times New Roman" w:hAnsi="Courier New" w:cs="Courier New"/>
          <w:color w:val="000000"/>
          <w:sz w:val="20"/>
          <w:szCs w:val="20"/>
        </w:rPr>
      </w:pPr>
      <w:r w:rsidRPr="008C13BF">
        <w:rPr>
          <w:rFonts w:ascii="Courier New" w:eastAsia="Times New Roman" w:hAnsi="Courier New" w:cs="Courier New"/>
          <w:color w:val="000000"/>
          <w:sz w:val="20"/>
          <w:szCs w:val="20"/>
        </w:rPr>
        <w:t>=&gt; GRANT USAGE ON SCHEMA PUBLIC to Carol;</w:t>
      </w:r>
    </w:p>
    <w:p w:rsidR="008C13BF" w:rsidRPr="008C13BF" w:rsidRDefault="008C13BF" w:rsidP="008C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Courier New" w:eastAsia="Times New Roman" w:hAnsi="Courier New" w:cs="Courier New"/>
          <w:color w:val="000000"/>
          <w:sz w:val="20"/>
          <w:szCs w:val="20"/>
        </w:rPr>
      </w:pPr>
      <w:r w:rsidRPr="008C13BF">
        <w:rPr>
          <w:rFonts w:ascii="Courier New" w:eastAsia="Times New Roman" w:hAnsi="Courier New" w:cs="Courier New"/>
          <w:color w:val="000000"/>
          <w:sz w:val="20"/>
          <w:szCs w:val="20"/>
        </w:rPr>
        <w:t>=&gt; GRANT ALL ON DATABASE apps TO Carol;</w:t>
      </w:r>
    </w:p>
    <w:p w:rsidR="008C13BF" w:rsidRPr="008C13BF" w:rsidRDefault="008C13BF" w:rsidP="008C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Courier New" w:eastAsia="Times New Roman" w:hAnsi="Courier New" w:cs="Courier New"/>
          <w:color w:val="000000"/>
          <w:sz w:val="20"/>
          <w:szCs w:val="20"/>
        </w:rPr>
      </w:pPr>
      <w:r w:rsidRPr="008C13BF">
        <w:rPr>
          <w:rFonts w:ascii="Courier New" w:eastAsia="Times New Roman" w:hAnsi="Courier New" w:cs="Courier New"/>
          <w:color w:val="000000"/>
          <w:sz w:val="20"/>
          <w:szCs w:val="20"/>
        </w:rPr>
        <w:t xml:space="preserve">=&gt; GRANT SELECT ON </w:t>
      </w:r>
      <w:proofErr w:type="spellStart"/>
      <w:r w:rsidRPr="008C13BF">
        <w:rPr>
          <w:rFonts w:ascii="Courier New" w:eastAsia="Times New Roman" w:hAnsi="Courier New" w:cs="Courier New"/>
          <w:color w:val="000000"/>
          <w:sz w:val="20"/>
          <w:szCs w:val="20"/>
        </w:rPr>
        <w:t>applog</w:t>
      </w:r>
      <w:proofErr w:type="spellEnd"/>
      <w:r w:rsidRPr="008C13BF">
        <w:rPr>
          <w:rFonts w:ascii="Courier New" w:eastAsia="Times New Roman" w:hAnsi="Courier New" w:cs="Courier New"/>
          <w:color w:val="000000"/>
          <w:sz w:val="20"/>
          <w:szCs w:val="20"/>
        </w:rPr>
        <w:t xml:space="preserve"> TO Carol WITH GRANT OPTION;</w:t>
      </w:r>
    </w:p>
    <w:p w:rsidR="008C13BF" w:rsidRPr="008C13BF" w:rsidRDefault="008C13BF">
      <w:pPr>
        <w:rPr>
          <w:b/>
        </w:rPr>
      </w:pPr>
    </w:p>
    <w:p w:rsidR="008C13BF" w:rsidRDefault="008C13BF">
      <w:pPr>
        <w:rPr>
          <w:b/>
        </w:rPr>
      </w:pPr>
      <w:r w:rsidRPr="008C13BF">
        <w:rPr>
          <w:b/>
        </w:rPr>
        <w:t>DATA ENCRYPTION</w:t>
      </w:r>
      <w:r>
        <w:rPr>
          <w:b/>
        </w:rPr>
        <w:t>:</w:t>
      </w:r>
    </w:p>
    <w:p w:rsidR="008C13BF" w:rsidRPr="008C13BF" w:rsidRDefault="008C13BF" w:rsidP="008C13BF">
      <w:pPr>
        <w:rPr>
          <w:b/>
        </w:rPr>
      </w:pPr>
      <w:r w:rsidRPr="008C13BF">
        <w:rPr>
          <w:b/>
        </w:rPr>
        <w:t>Database Encryption for Safeguarding Sensitive D</w:t>
      </w:r>
      <w:r w:rsidR="0090134B">
        <w:rPr>
          <w:b/>
        </w:rPr>
        <w:t>ata</w:t>
      </w:r>
    </w:p>
    <w:p w:rsidR="008C13BF" w:rsidRPr="0090134B" w:rsidRDefault="008C13BF" w:rsidP="008C13BF">
      <w:r w:rsidRPr="0090134B">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8C13BF" w:rsidRPr="0090134B" w:rsidRDefault="008C13BF" w:rsidP="008C13BF"/>
    <w:p w:rsidR="008C13BF" w:rsidRPr="0090134B" w:rsidRDefault="008C13BF" w:rsidP="008C13BF">
      <w:r w:rsidRPr="0090134B">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w:t>
      </w:r>
      <w:r w:rsidR="0090134B">
        <w:t>nsuming key management efforts.</w:t>
      </w:r>
    </w:p>
    <w:p w:rsidR="008C13BF" w:rsidRPr="0090134B" w:rsidRDefault="008C13BF" w:rsidP="008C13BF">
      <w:r w:rsidRPr="0090134B">
        <w:t xml:space="preserve">With </w:t>
      </w:r>
      <w:proofErr w:type="spellStart"/>
      <w:r w:rsidRPr="0090134B">
        <w:t>Vormetric</w:t>
      </w:r>
      <w:proofErr w:type="spellEnd"/>
      <w:r w:rsidRPr="0090134B">
        <w:t xml:space="preserve"> solutions, you can gain the capabilities you need to encrypt and secure sensitive assets in databases, while avoiding the challenges traditionally associated with database encryption.</w:t>
      </w:r>
    </w:p>
    <w:p w:rsidR="0090134B" w:rsidRDefault="0090134B">
      <w:pPr>
        <w:rPr>
          <w:b/>
        </w:rPr>
      </w:pPr>
    </w:p>
    <w:p w:rsidR="008C13BF" w:rsidRDefault="008C13BF">
      <w:pPr>
        <w:rPr>
          <w:b/>
        </w:rPr>
      </w:pPr>
      <w:r w:rsidRPr="008C13BF">
        <w:rPr>
          <w:b/>
        </w:rPr>
        <w:t>TRANSIVITY, REFLEXITY AND AUGMENTATION PROPERTIES OF FDs</w:t>
      </w:r>
      <w:r>
        <w:rPr>
          <w:b/>
        </w:rPr>
        <w:t>:</w:t>
      </w:r>
    </w:p>
    <w:p w:rsidR="0090134B" w:rsidRPr="0090134B" w:rsidRDefault="0090134B" w:rsidP="0090134B">
      <w:r w:rsidRPr="0090134B">
        <w:t>There</w:t>
      </w:r>
      <w:r w:rsidRPr="0090134B">
        <w:t xml:space="preserve"> are three Armstrong's Axioms for inferring all the functional dependencies on a relational database. (X, Y and Z are set of attributes)</w:t>
      </w:r>
    </w:p>
    <w:p w:rsidR="0090134B" w:rsidRPr="0090134B" w:rsidRDefault="0090134B" w:rsidP="0090134B">
      <w:r w:rsidRPr="0090134B">
        <w:t xml:space="preserve">Reflexivity: If X </w:t>
      </w:r>
      <w:r w:rsidRPr="0090134B">
        <w:rPr>
          <w:rFonts w:ascii="Cambria Math" w:hAnsi="Cambria Math" w:cs="Cambria Math"/>
        </w:rPr>
        <w:t>⊆</w:t>
      </w:r>
      <w:r w:rsidRPr="0090134B">
        <w:t xml:space="preserve"> Y, then Y </w:t>
      </w:r>
      <w:r w:rsidRPr="0090134B">
        <w:rPr>
          <w:rFonts w:ascii="Calibri" w:hAnsi="Calibri" w:cs="Calibri"/>
        </w:rPr>
        <w:t>→</w:t>
      </w:r>
      <w:r w:rsidRPr="0090134B">
        <w:t xml:space="preserve"> X</w:t>
      </w:r>
    </w:p>
    <w:p w:rsidR="0090134B" w:rsidRPr="0090134B" w:rsidRDefault="0090134B" w:rsidP="0090134B">
      <w:r w:rsidRPr="0090134B">
        <w:lastRenderedPageBreak/>
        <w:t>Augmentation: If X → Y, then XZ → YZ for any Z</w:t>
      </w:r>
    </w:p>
    <w:p w:rsidR="0090134B" w:rsidRPr="0090134B" w:rsidRDefault="0090134B" w:rsidP="0090134B">
      <w:r w:rsidRPr="0090134B">
        <w:t>Transitivity: if X → Y and Y → Z, then X → Z</w:t>
      </w:r>
    </w:p>
    <w:p w:rsidR="0090134B" w:rsidRPr="0090134B" w:rsidRDefault="0090134B" w:rsidP="0090134B">
      <w:r w:rsidRPr="0090134B">
        <w:t>I understand the augmentation and transitivity for</w:t>
      </w:r>
      <w:r w:rsidR="00716501">
        <w:t xml:space="preserve"> example if we had such schema:</w:t>
      </w:r>
    </w:p>
    <w:p w:rsidR="0090134B" w:rsidRPr="0090134B" w:rsidRDefault="0090134B" w:rsidP="0090134B">
      <w:r w:rsidRPr="0090134B">
        <w:t>SOME_SCHEMA</w:t>
      </w:r>
      <w:r w:rsidR="00716501">
        <w:t xml:space="preserve"> (a, b, c, d) </w:t>
      </w:r>
      <w:r w:rsidRPr="0090134B">
        <w:t>wit</w:t>
      </w:r>
      <w:r w:rsidR="00716501">
        <w:t>h such functional dependencies:</w:t>
      </w:r>
    </w:p>
    <w:p w:rsidR="0090134B" w:rsidRPr="0090134B" w:rsidRDefault="0090134B" w:rsidP="0090134B">
      <w:proofErr w:type="gramStart"/>
      <w:r w:rsidRPr="0090134B">
        <w:t>a</w:t>
      </w:r>
      <w:proofErr w:type="gramEnd"/>
      <w:r w:rsidRPr="0090134B">
        <w:t xml:space="preserve"> → b</w:t>
      </w:r>
    </w:p>
    <w:p w:rsidR="0090134B" w:rsidRDefault="0090134B" w:rsidP="0090134B">
      <w:proofErr w:type="gramStart"/>
      <w:r w:rsidRPr="0090134B">
        <w:t>b</w:t>
      </w:r>
      <w:proofErr w:type="gramEnd"/>
      <w:r w:rsidRPr="0090134B">
        <w:t xml:space="preserve"> → c</w:t>
      </w:r>
    </w:p>
    <w:p w:rsidR="00716501" w:rsidRPr="0090134B" w:rsidRDefault="00716501" w:rsidP="0090134B"/>
    <w:p w:rsidR="008C13BF" w:rsidRDefault="008C13BF">
      <w:pPr>
        <w:rPr>
          <w:b/>
        </w:rPr>
      </w:pPr>
      <w:r w:rsidRPr="008C13BF">
        <w:rPr>
          <w:b/>
        </w:rPr>
        <w:t>BCNF AND DECOMPOSITION INTO BCNF</w:t>
      </w:r>
      <w:r>
        <w:rPr>
          <w:b/>
        </w:rPr>
        <w:t>:</w:t>
      </w:r>
    </w:p>
    <w:p w:rsidR="0090134B" w:rsidRPr="0090134B" w:rsidRDefault="0090134B" w:rsidP="0090134B">
      <w:r w:rsidRPr="0090134B">
        <w:t xml:space="preserve">It is a slightly stronger version of the third normal form </w:t>
      </w:r>
      <w:r>
        <w:t>(3NF). A table is in Boyce-</w:t>
      </w:r>
      <w:proofErr w:type="spellStart"/>
      <w:r>
        <w:t>Codd</w:t>
      </w:r>
      <w:proofErr w:type="spellEnd"/>
      <w:r>
        <w:t xml:space="preserve"> </w:t>
      </w:r>
      <w:r w:rsidRPr="0090134B">
        <w:t>normal form if and only if for every one of its non-trivia</w:t>
      </w:r>
      <w:r w:rsidR="00716501">
        <w:t xml:space="preserve">l [dependencies] X → Y, X is a </w:t>
      </w:r>
      <w:r w:rsidR="00716501" w:rsidRPr="0090134B">
        <w:t>super key</w:t>
      </w:r>
      <w:r w:rsidRPr="0090134B">
        <w:t>—that is, X is either a candi</w:t>
      </w:r>
      <w:r>
        <w:t xml:space="preserve">date key or a superset thereof. </w:t>
      </w:r>
      <w:r w:rsidRPr="0090134B">
        <w:t xml:space="preserve"> Note the above set of tables “Tournament Winners” and “P</w:t>
      </w:r>
      <w:r>
        <w:t xml:space="preserve">layer Dates of Birth” shown as in 3NF are also in BCNF. </w:t>
      </w:r>
      <w:r w:rsidRPr="0090134B">
        <w:t>Only in rare cases does a 3NF table not meet the req</w:t>
      </w:r>
      <w:r>
        <w:t xml:space="preserve">uirements of BCNF. A 3NF table </w:t>
      </w:r>
      <w:r w:rsidRPr="0090134B">
        <w:t>which does not have multiple overlapping candidate k</w:t>
      </w:r>
      <w:r>
        <w:t xml:space="preserve">eys is guaranteed to be in BCNF. </w:t>
      </w:r>
      <w:r w:rsidRPr="0090134B">
        <w:t>An example of a 3NF table that does not meet BCNF is</w:t>
      </w:r>
    </w:p>
    <w:p w:rsidR="0090134B" w:rsidRPr="0090134B" w:rsidRDefault="0090134B" w:rsidP="0090134B">
      <w:r w:rsidRPr="0090134B">
        <w:t>Today's Court Bookings</w:t>
      </w:r>
    </w:p>
    <w:p w:rsidR="0090134B" w:rsidRPr="0090134B" w:rsidRDefault="0090134B" w:rsidP="0090134B">
      <w:r w:rsidRPr="0090134B">
        <w:t xml:space="preserve">Court Start Time End Time Rate Type </w:t>
      </w:r>
    </w:p>
    <w:p w:rsidR="0090134B" w:rsidRPr="0090134B" w:rsidRDefault="0090134B" w:rsidP="0090134B"/>
    <w:tbl>
      <w:tblPr>
        <w:tblStyle w:val="TableGrid"/>
        <w:tblW w:w="0" w:type="auto"/>
        <w:tblLook w:val="04A0" w:firstRow="1" w:lastRow="0" w:firstColumn="1" w:lastColumn="0" w:noHBand="0" w:noVBand="1"/>
      </w:tblPr>
      <w:tblGrid>
        <w:gridCol w:w="2757"/>
      </w:tblGrid>
      <w:tr w:rsidR="0090134B" w:rsidRPr="0090134B" w:rsidTr="0090134B">
        <w:trPr>
          <w:trHeight w:val="253"/>
        </w:trPr>
        <w:tc>
          <w:tcPr>
            <w:tcW w:w="2757" w:type="dxa"/>
          </w:tcPr>
          <w:p w:rsidR="0090134B" w:rsidRPr="0090134B" w:rsidRDefault="0090134B" w:rsidP="00996475">
            <w:r w:rsidRPr="0090134B">
              <w:t xml:space="preserve">1 09:30 10:30 SAVER </w:t>
            </w:r>
          </w:p>
        </w:tc>
      </w:tr>
      <w:tr w:rsidR="0090134B" w:rsidRPr="0090134B" w:rsidTr="0090134B">
        <w:trPr>
          <w:trHeight w:val="239"/>
        </w:trPr>
        <w:tc>
          <w:tcPr>
            <w:tcW w:w="2757" w:type="dxa"/>
          </w:tcPr>
          <w:p w:rsidR="0090134B" w:rsidRPr="0090134B" w:rsidRDefault="0090134B" w:rsidP="00996475"/>
        </w:tc>
      </w:tr>
      <w:tr w:rsidR="0090134B" w:rsidRPr="0090134B" w:rsidTr="0090134B">
        <w:trPr>
          <w:trHeight w:val="253"/>
        </w:trPr>
        <w:tc>
          <w:tcPr>
            <w:tcW w:w="2757" w:type="dxa"/>
          </w:tcPr>
          <w:p w:rsidR="0090134B" w:rsidRPr="0090134B" w:rsidRDefault="0090134B" w:rsidP="00996475">
            <w:r w:rsidRPr="0090134B">
              <w:t xml:space="preserve">1 11:00 12:00 SAVER </w:t>
            </w:r>
          </w:p>
        </w:tc>
      </w:tr>
      <w:tr w:rsidR="0090134B" w:rsidRPr="0090134B" w:rsidTr="0090134B">
        <w:trPr>
          <w:trHeight w:val="239"/>
        </w:trPr>
        <w:tc>
          <w:tcPr>
            <w:tcW w:w="2757" w:type="dxa"/>
          </w:tcPr>
          <w:p w:rsidR="0090134B" w:rsidRPr="0090134B" w:rsidRDefault="0090134B" w:rsidP="00996475"/>
        </w:tc>
      </w:tr>
      <w:tr w:rsidR="0090134B" w:rsidRPr="0090134B" w:rsidTr="0090134B">
        <w:trPr>
          <w:trHeight w:val="253"/>
        </w:trPr>
        <w:tc>
          <w:tcPr>
            <w:tcW w:w="2757" w:type="dxa"/>
          </w:tcPr>
          <w:p w:rsidR="0090134B" w:rsidRPr="0090134B" w:rsidRDefault="0090134B" w:rsidP="00996475">
            <w:r w:rsidRPr="0090134B">
              <w:t xml:space="preserve">1 14:00 15:30 STANDARD </w:t>
            </w:r>
          </w:p>
        </w:tc>
      </w:tr>
      <w:tr w:rsidR="0090134B" w:rsidRPr="0090134B" w:rsidTr="0090134B">
        <w:trPr>
          <w:trHeight w:val="239"/>
        </w:trPr>
        <w:tc>
          <w:tcPr>
            <w:tcW w:w="2757" w:type="dxa"/>
          </w:tcPr>
          <w:p w:rsidR="0090134B" w:rsidRPr="0090134B" w:rsidRDefault="0090134B" w:rsidP="00996475"/>
        </w:tc>
      </w:tr>
      <w:tr w:rsidR="0090134B" w:rsidRPr="0090134B" w:rsidTr="0090134B">
        <w:trPr>
          <w:trHeight w:val="253"/>
        </w:trPr>
        <w:tc>
          <w:tcPr>
            <w:tcW w:w="2757" w:type="dxa"/>
          </w:tcPr>
          <w:p w:rsidR="0090134B" w:rsidRPr="0090134B" w:rsidRDefault="0090134B" w:rsidP="00996475">
            <w:r w:rsidRPr="0090134B">
              <w:t xml:space="preserve">2 10:00 11:30 PREMIUM-B </w:t>
            </w:r>
          </w:p>
        </w:tc>
      </w:tr>
      <w:tr w:rsidR="0090134B" w:rsidRPr="0090134B" w:rsidTr="0090134B">
        <w:trPr>
          <w:trHeight w:val="253"/>
        </w:trPr>
        <w:tc>
          <w:tcPr>
            <w:tcW w:w="2757" w:type="dxa"/>
          </w:tcPr>
          <w:p w:rsidR="0090134B" w:rsidRPr="0090134B" w:rsidRDefault="0090134B" w:rsidP="00996475"/>
        </w:tc>
      </w:tr>
      <w:tr w:rsidR="0090134B" w:rsidRPr="0090134B" w:rsidTr="0090134B">
        <w:trPr>
          <w:trHeight w:val="239"/>
        </w:trPr>
        <w:tc>
          <w:tcPr>
            <w:tcW w:w="2757" w:type="dxa"/>
          </w:tcPr>
          <w:p w:rsidR="0090134B" w:rsidRPr="0090134B" w:rsidRDefault="0090134B" w:rsidP="00996475">
            <w:r w:rsidRPr="0090134B">
              <w:t xml:space="preserve">2 11:30 13:30 PREMIUM-B </w:t>
            </w:r>
          </w:p>
        </w:tc>
      </w:tr>
      <w:tr w:rsidR="0090134B" w:rsidRPr="0090134B" w:rsidTr="0090134B">
        <w:trPr>
          <w:trHeight w:val="253"/>
        </w:trPr>
        <w:tc>
          <w:tcPr>
            <w:tcW w:w="2757" w:type="dxa"/>
          </w:tcPr>
          <w:p w:rsidR="0090134B" w:rsidRPr="0090134B" w:rsidRDefault="0090134B" w:rsidP="00996475"/>
        </w:tc>
      </w:tr>
      <w:tr w:rsidR="0090134B" w:rsidRPr="0090134B" w:rsidTr="0090134B">
        <w:trPr>
          <w:trHeight w:val="239"/>
        </w:trPr>
        <w:tc>
          <w:tcPr>
            <w:tcW w:w="2757" w:type="dxa"/>
          </w:tcPr>
          <w:p w:rsidR="0090134B" w:rsidRPr="0090134B" w:rsidRDefault="0090134B" w:rsidP="00996475">
            <w:r w:rsidRPr="0090134B">
              <w:t xml:space="preserve">2 15:00 16:30 PREMIUM-A </w:t>
            </w:r>
          </w:p>
        </w:tc>
      </w:tr>
    </w:tbl>
    <w:p w:rsidR="0090134B" w:rsidRPr="0090134B" w:rsidRDefault="0090134B" w:rsidP="0090134B"/>
    <w:p w:rsidR="0090134B" w:rsidRPr="0090134B" w:rsidRDefault="0090134B" w:rsidP="0090134B">
      <w:r w:rsidRPr="0090134B">
        <w:t>There are two courts available and there</w:t>
      </w:r>
      <w:r w:rsidR="00716501">
        <w:t xml:space="preserve"> are four distinct rate types: </w:t>
      </w:r>
    </w:p>
    <w:p w:rsidR="0090134B" w:rsidRPr="0090134B" w:rsidRDefault="0090134B" w:rsidP="0090134B">
      <w:pPr>
        <w:pStyle w:val="ListParagraph"/>
        <w:numPr>
          <w:ilvl w:val="0"/>
          <w:numId w:val="1"/>
        </w:numPr>
      </w:pPr>
      <w:r w:rsidRPr="0090134B">
        <w:t xml:space="preserve">SAVER, for Court 1 bookings made by members </w:t>
      </w:r>
    </w:p>
    <w:p w:rsidR="0090134B" w:rsidRPr="0090134B" w:rsidRDefault="0090134B" w:rsidP="0090134B">
      <w:pPr>
        <w:pStyle w:val="ListParagraph"/>
        <w:numPr>
          <w:ilvl w:val="0"/>
          <w:numId w:val="1"/>
        </w:numPr>
      </w:pPr>
      <w:r w:rsidRPr="0090134B">
        <w:t xml:space="preserve">STANDARD, for Court 1 bookings made by non-members </w:t>
      </w:r>
    </w:p>
    <w:p w:rsidR="0090134B" w:rsidRPr="0090134B" w:rsidRDefault="0090134B" w:rsidP="00716501">
      <w:pPr>
        <w:pStyle w:val="ListParagraph"/>
        <w:numPr>
          <w:ilvl w:val="0"/>
          <w:numId w:val="1"/>
        </w:numPr>
      </w:pPr>
      <w:r w:rsidRPr="0090134B">
        <w:t xml:space="preserve">PREMIUM-A, for Court 2 bookings made by members </w:t>
      </w:r>
    </w:p>
    <w:p w:rsidR="0090134B" w:rsidRPr="0090134B" w:rsidRDefault="0090134B" w:rsidP="0090134B">
      <w:pPr>
        <w:pStyle w:val="ListParagraph"/>
        <w:numPr>
          <w:ilvl w:val="0"/>
          <w:numId w:val="1"/>
        </w:numPr>
      </w:pPr>
      <w:r w:rsidRPr="0090134B">
        <w:t xml:space="preserve">PREMIUM-B, for Court 2 bookings made by non-members </w:t>
      </w:r>
    </w:p>
    <w:p w:rsidR="0090134B" w:rsidRPr="0090134B" w:rsidRDefault="0090134B" w:rsidP="0090134B">
      <w:r w:rsidRPr="0090134B">
        <w:t>So, Rate Type → Court is only non-trivial fun</w:t>
      </w:r>
      <w:r w:rsidR="00716501">
        <w:t xml:space="preserve">ctional dependency that holds. </w:t>
      </w:r>
    </w:p>
    <w:p w:rsidR="0090134B" w:rsidRPr="0090134B" w:rsidRDefault="0090134B" w:rsidP="0090134B">
      <w:pPr>
        <w:pStyle w:val="ListParagraph"/>
        <w:numPr>
          <w:ilvl w:val="0"/>
          <w:numId w:val="1"/>
        </w:numPr>
      </w:pPr>
      <w:r w:rsidRPr="0090134B">
        <w:t>We can observe that the table's candidate keys are:</w:t>
      </w:r>
    </w:p>
    <w:p w:rsidR="0090134B" w:rsidRPr="0090134B" w:rsidRDefault="0090134B" w:rsidP="0090134B">
      <w:pPr>
        <w:pStyle w:val="ListParagraph"/>
        <w:numPr>
          <w:ilvl w:val="0"/>
          <w:numId w:val="1"/>
        </w:numPr>
      </w:pPr>
      <w:r w:rsidRPr="0090134B">
        <w:lastRenderedPageBreak/>
        <w:t xml:space="preserve">In the Today's Court Bookings table, there are no non-prime attributes: that is, all </w:t>
      </w:r>
    </w:p>
    <w:p w:rsidR="0090134B" w:rsidRPr="0090134B" w:rsidRDefault="0090134B" w:rsidP="0090134B">
      <w:pPr>
        <w:pStyle w:val="ListParagraph"/>
        <w:numPr>
          <w:ilvl w:val="0"/>
          <w:numId w:val="3"/>
        </w:numPr>
      </w:pPr>
      <w:r w:rsidRPr="0090134B">
        <w:t xml:space="preserve"> {Court, Start Time} </w:t>
      </w:r>
    </w:p>
    <w:p w:rsidR="0090134B" w:rsidRPr="0090134B" w:rsidRDefault="0090134B" w:rsidP="0090134B">
      <w:pPr>
        <w:pStyle w:val="ListParagraph"/>
        <w:numPr>
          <w:ilvl w:val="0"/>
          <w:numId w:val="3"/>
        </w:numPr>
      </w:pPr>
      <w:r w:rsidRPr="0090134B">
        <w:t xml:space="preserve"> {Court, End Time} </w:t>
      </w:r>
    </w:p>
    <w:p w:rsidR="0090134B" w:rsidRPr="0090134B" w:rsidRDefault="0090134B" w:rsidP="0090134B">
      <w:pPr>
        <w:pStyle w:val="ListParagraph"/>
        <w:numPr>
          <w:ilvl w:val="0"/>
          <w:numId w:val="3"/>
        </w:numPr>
      </w:pPr>
      <w:r w:rsidRPr="0090134B">
        <w:t xml:space="preserve"> {Rate Type, Start Time} </w:t>
      </w:r>
    </w:p>
    <w:p w:rsidR="0090134B" w:rsidRPr="0090134B" w:rsidRDefault="0090134B" w:rsidP="0090134B">
      <w:pPr>
        <w:pStyle w:val="ListParagraph"/>
        <w:numPr>
          <w:ilvl w:val="0"/>
          <w:numId w:val="3"/>
        </w:numPr>
      </w:pPr>
      <w:r w:rsidRPr="0090134B">
        <w:t xml:space="preserve"> {Rate Type, End Time} </w:t>
      </w:r>
    </w:p>
    <w:p w:rsidR="0090134B" w:rsidRPr="0090134B" w:rsidRDefault="0090134B" w:rsidP="0090134B">
      <w:proofErr w:type="gramStart"/>
      <w:r w:rsidRPr="0090134B">
        <w:t>attributes</w:t>
      </w:r>
      <w:proofErr w:type="gramEnd"/>
      <w:r w:rsidRPr="0090134B">
        <w:t xml:space="preserve"> belong to candidate keys. Therefore the</w:t>
      </w:r>
      <w:r w:rsidR="00716501">
        <w:t xml:space="preserve"> table adheres to both 2NF and 3NF </w:t>
      </w:r>
      <w:r w:rsidRPr="0090134B">
        <w:t xml:space="preserve">Court, the determining attribute </w:t>
      </w:r>
      <w:r w:rsidR="00716501">
        <w:t>(Rate Type) is not a super key.</w:t>
      </w:r>
    </w:p>
    <w:p w:rsidR="0090134B" w:rsidRPr="0090134B" w:rsidRDefault="0090134B" w:rsidP="0090134B">
      <w:r w:rsidRPr="0090134B">
        <w:t xml:space="preserve"> The table does not adhere to BCNF because</w:t>
      </w:r>
      <w:r w:rsidR="00716501">
        <w:t xml:space="preserve"> in the dependency Rate Type → </w:t>
      </w:r>
      <w:r w:rsidR="00716501" w:rsidRPr="0090134B">
        <w:t>the</w:t>
      </w:r>
      <w:r w:rsidRPr="0090134B">
        <w:t xml:space="preserve"> design can be amended so</w:t>
      </w:r>
      <w:r w:rsidR="00716501">
        <w:t xml:space="preserve"> that it meets BCNF as follows:</w:t>
      </w:r>
    </w:p>
    <w:p w:rsidR="00716501" w:rsidRPr="0090134B" w:rsidRDefault="00716501" w:rsidP="0090134B"/>
    <w:tbl>
      <w:tblPr>
        <w:tblStyle w:val="TableGrid"/>
        <w:tblW w:w="0" w:type="auto"/>
        <w:tblLook w:val="04A0" w:firstRow="1" w:lastRow="0" w:firstColumn="1" w:lastColumn="0" w:noHBand="0" w:noVBand="1"/>
      </w:tblPr>
      <w:tblGrid>
        <w:gridCol w:w="9350"/>
      </w:tblGrid>
      <w:tr w:rsidR="00716501" w:rsidRPr="00716501" w:rsidTr="00716501">
        <w:tc>
          <w:tcPr>
            <w:tcW w:w="9350" w:type="dxa"/>
          </w:tcPr>
          <w:p w:rsidR="00716501" w:rsidRPr="00716501" w:rsidRDefault="00716501" w:rsidP="004471D7">
            <w:r w:rsidRPr="00716501">
              <w:t xml:space="preserve">                Rate Types                                                             Today’s Bookings</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Rate Type Court Member Flag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SAVER 1 Yes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STANDARD 1 No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PREMIUM-A 2 Yes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PREMIUM-B 2 No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Rate Type Start Time End Time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SAVER 09:30 10:30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SAVER 11:00 12:00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STANDARD 14:00 15:30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PREMIUM-B 10:00 11:30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PREMIUM-B 11:30 13:30 </w:t>
            </w:r>
          </w:p>
        </w:tc>
      </w:tr>
      <w:tr w:rsidR="00716501" w:rsidRPr="00716501" w:rsidTr="00716501">
        <w:tc>
          <w:tcPr>
            <w:tcW w:w="9350" w:type="dxa"/>
          </w:tcPr>
          <w:p w:rsidR="00716501" w:rsidRPr="00716501" w:rsidRDefault="00716501" w:rsidP="004471D7"/>
        </w:tc>
      </w:tr>
      <w:tr w:rsidR="00716501" w:rsidRPr="00716501" w:rsidTr="00716501">
        <w:tc>
          <w:tcPr>
            <w:tcW w:w="9350" w:type="dxa"/>
          </w:tcPr>
          <w:p w:rsidR="00716501" w:rsidRPr="00716501" w:rsidRDefault="00716501" w:rsidP="004471D7">
            <w:r w:rsidRPr="00716501">
              <w:t xml:space="preserve">PREMIUM-A 15:00 16:30 </w:t>
            </w:r>
          </w:p>
        </w:tc>
      </w:tr>
    </w:tbl>
    <w:p w:rsidR="0090134B" w:rsidRPr="0090134B" w:rsidRDefault="0090134B" w:rsidP="0090134B"/>
    <w:p w:rsidR="0090134B" w:rsidRDefault="0090134B" w:rsidP="0090134B">
      <w:r w:rsidRPr="0090134B">
        <w:t>The candidate keys for the Rate Types table are {Rate T</w:t>
      </w:r>
      <w:r w:rsidR="00716501">
        <w:t>ype} and {Court, Member Flag}</w:t>
      </w:r>
      <w:proofErr w:type="gramStart"/>
      <w:r w:rsidR="00716501">
        <w:t>;</w:t>
      </w:r>
      <w:r w:rsidRPr="0090134B">
        <w:t>the</w:t>
      </w:r>
      <w:proofErr w:type="gramEnd"/>
      <w:r w:rsidRPr="0090134B">
        <w:t xml:space="preserve"> candidate keys for the Today's Bookings table are {Ra</w:t>
      </w:r>
      <w:r w:rsidR="00716501">
        <w:t xml:space="preserve">te Type, Start Time} and {Rate </w:t>
      </w:r>
      <w:r w:rsidRPr="0090134B">
        <w:t>Type, End Time}. Both tables are in BCNF.</w:t>
      </w:r>
    </w:p>
    <w:p w:rsidR="00716501" w:rsidRDefault="00716501" w:rsidP="0090134B">
      <w:r>
        <w:rPr>
          <w:noProof/>
        </w:rPr>
        <w:lastRenderedPageBreak/>
        <w:drawing>
          <wp:inline distT="0" distB="0" distL="0" distR="0" wp14:anchorId="48EA90AA" wp14:editId="68A84796">
            <wp:extent cx="5943600" cy="474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4085"/>
                    </a:xfrm>
                    <a:prstGeom prst="rect">
                      <a:avLst/>
                    </a:prstGeom>
                  </pic:spPr>
                </pic:pic>
              </a:graphicData>
            </a:graphic>
          </wp:inline>
        </w:drawing>
      </w:r>
    </w:p>
    <w:p w:rsidR="00716501" w:rsidRPr="0090134B" w:rsidRDefault="00716501" w:rsidP="0090134B"/>
    <w:p w:rsidR="008C13BF" w:rsidRDefault="008C13BF">
      <w:pPr>
        <w:rPr>
          <w:b/>
        </w:rPr>
      </w:pPr>
      <w:r w:rsidRPr="008C13BF">
        <w:rPr>
          <w:b/>
        </w:rPr>
        <w:t>CHARACTERIZING SC</w:t>
      </w:r>
      <w:r>
        <w:rPr>
          <w:b/>
        </w:rPr>
        <w:t>HEDULES BASED ON RECOVERABILITY:</w:t>
      </w:r>
    </w:p>
    <w:p w:rsidR="00716501" w:rsidRPr="00716501" w:rsidRDefault="00716501" w:rsidP="00716501">
      <w:r w:rsidRPr="00716501">
        <w:t>T</w:t>
      </w:r>
      <w:r>
        <w:t>ransaction schedule or history:</w:t>
      </w:r>
    </w:p>
    <w:p w:rsidR="00716501" w:rsidRPr="00716501" w:rsidRDefault="00716501" w:rsidP="00716501">
      <w:r w:rsidRPr="00716501">
        <w:t>When transactions are executing concurrently in an interleaved fas</w:t>
      </w:r>
      <w:r>
        <w:t xml:space="preserve">hion, the order of execution of </w:t>
      </w:r>
      <w:r w:rsidRPr="00716501">
        <w:t>operations from the various transactions forms what is known as a transaction schedule (or</w:t>
      </w:r>
      <w:r>
        <w:t xml:space="preserve"> </w:t>
      </w:r>
      <w:r w:rsidRPr="00716501">
        <w:t>history).</w:t>
      </w:r>
      <w:r>
        <w:t xml:space="preserve"> </w:t>
      </w:r>
      <w:r w:rsidRPr="00716501">
        <w:t>A schedule (or history) S of n transactions T1, T2</w:t>
      </w:r>
      <w:proofErr w:type="gramStart"/>
      <w:r w:rsidRPr="00716501">
        <w:t>, …,</w:t>
      </w:r>
      <w:proofErr w:type="gramEnd"/>
      <w:r w:rsidRPr="00716501">
        <w:t xml:space="preserve"> </w:t>
      </w:r>
      <w:proofErr w:type="spellStart"/>
      <w:r w:rsidRPr="00716501">
        <w:t>Tn</w:t>
      </w:r>
      <w:proofErr w:type="spellEnd"/>
      <w:r w:rsidRPr="00716501">
        <w:t>:</w:t>
      </w:r>
    </w:p>
    <w:p w:rsidR="00716501" w:rsidRPr="00716501" w:rsidRDefault="00716501" w:rsidP="00716501">
      <w:r w:rsidRPr="00716501">
        <w:t>It is an ordering of the operations of the transactions subject t</w:t>
      </w:r>
      <w:r>
        <w:t xml:space="preserve">o the constraint that, for each </w:t>
      </w:r>
      <w:r w:rsidRPr="00716501">
        <w:t>transaction Ti that participates in S, the operations of T1 in S m</w:t>
      </w:r>
      <w:r>
        <w:t xml:space="preserve">ust appear in the same order </w:t>
      </w:r>
      <w:proofErr w:type="spellStart"/>
      <w:r>
        <w:t>in</w:t>
      </w:r>
      <w:r w:rsidRPr="00716501">
        <w:t>which</w:t>
      </w:r>
      <w:proofErr w:type="spellEnd"/>
      <w:r w:rsidRPr="00716501">
        <w:t xml:space="preserve"> they occur in T1.</w:t>
      </w:r>
    </w:p>
    <w:p w:rsidR="00716501" w:rsidRDefault="00716501" w:rsidP="00716501">
      <w:r w:rsidRPr="00716501">
        <w:t xml:space="preserve">Note, however, that operations from other transactions </w:t>
      </w:r>
      <w:proofErr w:type="spellStart"/>
      <w:r w:rsidRPr="00716501">
        <w:t>Tj</w:t>
      </w:r>
      <w:proofErr w:type="spellEnd"/>
      <w:r w:rsidRPr="00716501">
        <w:t xml:space="preserve"> can be interl</w:t>
      </w:r>
      <w:r>
        <w:t xml:space="preserve">eaved with the operations </w:t>
      </w:r>
      <w:r w:rsidRPr="00716501">
        <w:t>of Ti in S.</w:t>
      </w:r>
    </w:p>
    <w:p w:rsidR="0026232D" w:rsidRPr="00716501" w:rsidRDefault="0026232D" w:rsidP="00716501"/>
    <w:p w:rsidR="00716501" w:rsidRPr="008C13BF" w:rsidRDefault="00716501">
      <w:pPr>
        <w:rPr>
          <w:b/>
        </w:rPr>
      </w:pPr>
    </w:p>
    <w:p w:rsidR="00716501" w:rsidRPr="00716501" w:rsidRDefault="008C13BF" w:rsidP="00716501">
      <w:pPr>
        <w:rPr>
          <w:b/>
        </w:rPr>
      </w:pPr>
      <w:r w:rsidRPr="008C13BF">
        <w:rPr>
          <w:b/>
        </w:rPr>
        <w:lastRenderedPageBreak/>
        <w:t>CHARACTERIZING SCHEDULES BASED ON SERIALIZABILITY</w:t>
      </w:r>
      <w:r>
        <w:rPr>
          <w:b/>
        </w:rPr>
        <w:t>:</w:t>
      </w:r>
    </w:p>
    <w:p w:rsidR="00716501" w:rsidRPr="00716501" w:rsidRDefault="00716501" w:rsidP="00716501">
      <w:r w:rsidRPr="00716501">
        <w:t>DBMS must control concurrent execution of transactions to en</w:t>
      </w:r>
      <w:r>
        <w:t xml:space="preserve">sure read consistency, i.e., to </w:t>
      </w:r>
      <w:r w:rsidRPr="00716501">
        <w:t>avoid dirty reads etc.</w:t>
      </w:r>
    </w:p>
    <w:p w:rsidR="00716501" w:rsidRPr="00716501" w:rsidRDefault="00716501" w:rsidP="00716501">
      <w:r w:rsidRPr="00716501">
        <w:t xml:space="preserve">A (possibly concurrent) schedule S is </w:t>
      </w:r>
      <w:proofErr w:type="spellStart"/>
      <w:r w:rsidRPr="00716501">
        <w:t>serializable</w:t>
      </w:r>
      <w:proofErr w:type="spellEnd"/>
      <w:r w:rsidRPr="00716501">
        <w:t xml:space="preserve"> if it is equivalent t</w:t>
      </w:r>
      <w:r>
        <w:t xml:space="preserve">o a serial schedule S0, i.e., S </w:t>
      </w:r>
      <w:r w:rsidRPr="00716501">
        <w:t>has the same result database state as S0.</w:t>
      </w:r>
    </w:p>
    <w:p w:rsidR="00716501" w:rsidRPr="00716501" w:rsidRDefault="00716501" w:rsidP="00716501">
      <w:r w:rsidRPr="00716501">
        <w:t xml:space="preserve">How to ensure </w:t>
      </w:r>
      <w:proofErr w:type="spellStart"/>
      <w:r w:rsidRPr="00716501">
        <w:t>serializabil</w:t>
      </w:r>
      <w:r>
        <w:t>ity</w:t>
      </w:r>
      <w:proofErr w:type="spellEnd"/>
      <w:r>
        <w:t xml:space="preserve"> of concurrent transactions?</w:t>
      </w:r>
    </w:p>
    <w:p w:rsidR="00716501" w:rsidRPr="00716501" w:rsidRDefault="00716501" w:rsidP="00716501">
      <w:r w:rsidRPr="00716501">
        <w:t>Conflicts between operations of two transactions:</w:t>
      </w:r>
    </w:p>
    <w:p w:rsidR="00716501" w:rsidRDefault="00716501" w:rsidP="00716501">
      <w:pPr>
        <w:jc w:val="center"/>
      </w:pPr>
      <w:r>
        <w:rPr>
          <w:noProof/>
        </w:rPr>
        <w:drawing>
          <wp:inline distT="0" distB="0" distL="0" distR="0" wp14:anchorId="2AF3561C" wp14:editId="685E2BF3">
            <wp:extent cx="4124325" cy="2962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240" cy="2964108"/>
                    </a:xfrm>
                    <a:prstGeom prst="rect">
                      <a:avLst/>
                    </a:prstGeom>
                  </pic:spPr>
                </pic:pic>
              </a:graphicData>
            </a:graphic>
          </wp:inline>
        </w:drawing>
      </w:r>
    </w:p>
    <w:p w:rsidR="00716501" w:rsidRPr="00716501" w:rsidRDefault="00716501" w:rsidP="00716501">
      <w:r w:rsidRPr="00716501">
        <w:t xml:space="preserve">A schedule S is </w:t>
      </w:r>
      <w:proofErr w:type="spellStart"/>
      <w:r w:rsidRPr="00716501">
        <w:t>serializable</w:t>
      </w:r>
      <w:proofErr w:type="spellEnd"/>
      <w:r w:rsidRPr="00716501">
        <w:t xml:space="preserve"> with regard to the above conflicts </w:t>
      </w:r>
      <w:proofErr w:type="spellStart"/>
      <w:r w:rsidRPr="00716501">
        <w:t>iff</w:t>
      </w:r>
      <w:proofErr w:type="spellEnd"/>
      <w:r w:rsidRPr="00716501">
        <w:t xml:space="preserve"> S can be transformed into a</w:t>
      </w:r>
      <w:r>
        <w:t xml:space="preserve"> </w:t>
      </w:r>
      <w:r w:rsidRPr="00716501">
        <w:t>serial schedule S' by a series of swaps</w:t>
      </w:r>
      <w:r>
        <w:t xml:space="preserve"> of non-conflicting operations. </w:t>
      </w:r>
      <w:r w:rsidRPr="00716501">
        <w:t xml:space="preserve">Checks for </w:t>
      </w:r>
      <w:proofErr w:type="spellStart"/>
      <w:r w:rsidRPr="00716501">
        <w:t>serializability</w:t>
      </w:r>
      <w:proofErr w:type="spellEnd"/>
      <w:r w:rsidRPr="00716501">
        <w:t xml:space="preserve"> are based on precedence graph that describes dependenc</w:t>
      </w:r>
      <w:r>
        <w:t xml:space="preserve">ies among </w:t>
      </w:r>
      <w:r w:rsidRPr="00716501">
        <w:t xml:space="preserve">concurrent transactions; if the graph has no cycle, and then the transactions are </w:t>
      </w:r>
      <w:proofErr w:type="spellStart"/>
      <w:r w:rsidRPr="00716501">
        <w:t>serializable</w:t>
      </w:r>
      <w:proofErr w:type="spellEnd"/>
      <w:r w:rsidRPr="00716501">
        <w:t>.</w:t>
      </w:r>
    </w:p>
    <w:p w:rsidR="00716501" w:rsidRPr="00716501" w:rsidRDefault="00716501" w:rsidP="00716501">
      <w:r w:rsidRPr="00716501">
        <w:t xml:space="preserve">- </w:t>
      </w:r>
      <w:r w:rsidRPr="00716501">
        <w:t>They</w:t>
      </w:r>
      <w:r w:rsidRPr="00716501">
        <w:t xml:space="preserve"> can be executed concurrently without affecting each other’s transaction result.</w:t>
      </w:r>
    </w:p>
    <w:p w:rsidR="00716501" w:rsidRPr="008C13BF" w:rsidRDefault="00716501">
      <w:pPr>
        <w:rPr>
          <w:b/>
        </w:rPr>
      </w:pPr>
    </w:p>
    <w:p w:rsidR="008C13BF" w:rsidRDefault="008C13BF">
      <w:pPr>
        <w:rPr>
          <w:b/>
        </w:rPr>
      </w:pPr>
      <w:r>
        <w:rPr>
          <w:b/>
        </w:rPr>
        <w:t>TRANSACTION SUPPORTS IN SQL:</w:t>
      </w:r>
    </w:p>
    <w:p w:rsidR="00716501" w:rsidRPr="00716501" w:rsidRDefault="00716501" w:rsidP="00716501">
      <w:r w:rsidRPr="00716501">
        <w:t>The definition of an SQL-transaction is that it is a logical unit of work and is guaranteed to be atomic. A single SQL statement is always considered to be atomic—either it completes execution without error or it fails and leaves the database unchanged.</w:t>
      </w:r>
    </w:p>
    <w:p w:rsidR="00716501" w:rsidRPr="00716501" w:rsidRDefault="00716501" w:rsidP="00716501">
      <w:r w:rsidRPr="00716501">
        <w:t xml:space="preserve">With SQL, there is no explicit </w:t>
      </w:r>
      <w:proofErr w:type="spellStart"/>
      <w:r w:rsidRPr="00716501">
        <w:t>Begin_Transaction</w:t>
      </w:r>
      <w:proofErr w:type="spellEnd"/>
      <w:r w:rsidRPr="00716501">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access mode, the diagnostic area size, and the isolation level.</w:t>
      </w:r>
    </w:p>
    <w:p w:rsidR="00716501" w:rsidRPr="00716501" w:rsidRDefault="00716501" w:rsidP="00716501">
      <w:r w:rsidRPr="00716501">
        <w:lastRenderedPageBreak/>
        <w:t>The access mode 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716501" w:rsidRPr="00716501" w:rsidRDefault="00716501" w:rsidP="00716501">
      <w:r w:rsidRPr="00716501">
        <w:t>The diagnostic area size option, DIAGNOSTIC SIZE n, specifies an integer value n, indicating the number of conditions that can be held simultaneously in the diagnostic area. These conditions supply feedback information (errors or exceptions) to the user on the most recently executed SQL statement.</w:t>
      </w:r>
    </w:p>
    <w:p w:rsidR="00716501" w:rsidRPr="00716501" w:rsidRDefault="00716501" w:rsidP="00716501">
      <w:r w:rsidRPr="00716501">
        <w:t xml:space="preserve">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716501">
        <w:t>serializability</w:t>
      </w:r>
      <w:proofErr w:type="spellEnd"/>
      <w:r w:rsidRPr="00716501">
        <w:t>. If a transaction executes at a lower isolation level than SERIALIZABLE, then one or more of the following three violations may occur:</w:t>
      </w:r>
    </w:p>
    <w:p w:rsidR="00716501" w:rsidRPr="00716501" w:rsidRDefault="00716501" w:rsidP="00716501">
      <w:r w:rsidRPr="00716501">
        <w:t xml:space="preserve"> </w:t>
      </w:r>
    </w:p>
    <w:p w:rsidR="00716501" w:rsidRPr="00716501" w:rsidRDefault="00716501" w:rsidP="00716501">
      <w:r w:rsidRPr="00716501">
        <w:t xml:space="preserve">1. Dirty read: A transaction may read the update of a </w:t>
      </w:r>
      <w:proofErr w:type="gramStart"/>
      <w:r w:rsidRPr="00716501">
        <w:t>transaction ,</w:t>
      </w:r>
      <w:proofErr w:type="gramEnd"/>
      <w:r w:rsidRPr="00716501">
        <w:t xml:space="preserve"> which has not yet committed. If fails and is aborted, then would have read a value that does not exist and is incorrect.</w:t>
      </w:r>
    </w:p>
    <w:p w:rsidR="00716501" w:rsidRPr="00716501" w:rsidRDefault="00716501" w:rsidP="00716501">
      <w:r w:rsidRPr="00716501">
        <w:t xml:space="preserve"> </w:t>
      </w:r>
    </w:p>
    <w:p w:rsidR="00716501" w:rsidRPr="00716501" w:rsidRDefault="00716501" w:rsidP="00716501">
      <w:r w:rsidRPr="00716501">
        <w:t xml:space="preserve">2. </w:t>
      </w:r>
      <w:proofErr w:type="spellStart"/>
      <w:r w:rsidRPr="00716501">
        <w:t>Nonrepeatable</w:t>
      </w:r>
      <w:proofErr w:type="spellEnd"/>
      <w:r w:rsidRPr="00716501">
        <w:t xml:space="preserve"> read: A transaction may read a given value from a table. If another transaction later updates that value and reads that value again, will see a different value.</w:t>
      </w:r>
    </w:p>
    <w:p w:rsidR="00716501" w:rsidRPr="00716501" w:rsidRDefault="00716501" w:rsidP="00716501">
      <w:r w:rsidRPr="00716501">
        <w:t xml:space="preserve"> </w:t>
      </w:r>
    </w:p>
    <w:p w:rsidR="00716501" w:rsidRPr="00716501" w:rsidRDefault="00716501" w:rsidP="00716501">
      <w:r w:rsidRPr="00716501">
        <w:t>3. Phantoms: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716501" w:rsidRPr="00716501" w:rsidRDefault="00716501" w:rsidP="00716501">
      <w:r w:rsidRPr="00716501">
        <w:t>Table summarizes the possible violations for the different isolation levels. An entry of "yes" indicates that a violation is possible and an entry of "no" indicates that it is not possible.</w:t>
      </w:r>
    </w:p>
    <w:p w:rsidR="00716501" w:rsidRDefault="00716501" w:rsidP="00716501"/>
    <w:p w:rsidR="00716501" w:rsidRPr="00716501" w:rsidRDefault="00716501" w:rsidP="00716501">
      <w:r>
        <w:rPr>
          <w:noProof/>
        </w:rPr>
        <w:drawing>
          <wp:inline distT="0" distB="0" distL="0" distR="0" wp14:anchorId="7A94151B" wp14:editId="44E351C4">
            <wp:extent cx="5943600" cy="1675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5130"/>
                    </a:xfrm>
                    <a:prstGeom prst="rect">
                      <a:avLst/>
                    </a:prstGeom>
                  </pic:spPr>
                </pic:pic>
              </a:graphicData>
            </a:graphic>
          </wp:inline>
        </w:drawing>
      </w:r>
    </w:p>
    <w:p w:rsidR="00716501" w:rsidRPr="00716501" w:rsidRDefault="00716501" w:rsidP="00716501">
      <w:r w:rsidRPr="00716501">
        <w:lastRenderedPageBreak/>
        <w:t>A sample SQL transaction might look like the following:</w:t>
      </w:r>
    </w:p>
    <w:p w:rsidR="00716501" w:rsidRPr="00716501" w:rsidRDefault="00716501" w:rsidP="00716501">
      <w:r w:rsidRPr="00716501">
        <w:t>EXEC SQL WHENEVER SQLERROR GOTO UNDO;</w:t>
      </w:r>
    </w:p>
    <w:p w:rsidR="00716501" w:rsidRPr="00716501" w:rsidRDefault="00716501" w:rsidP="00716501">
      <w:r w:rsidRPr="00716501">
        <w:t>EXEC SQL SET TRANSACTION</w:t>
      </w:r>
    </w:p>
    <w:p w:rsidR="00716501" w:rsidRPr="00716501" w:rsidRDefault="00716501" w:rsidP="00716501">
      <w:r w:rsidRPr="00716501">
        <w:t>READ WRITE</w:t>
      </w:r>
    </w:p>
    <w:p w:rsidR="00716501" w:rsidRPr="00716501" w:rsidRDefault="00716501" w:rsidP="00716501">
      <w:r w:rsidRPr="00716501">
        <w:t>DIAGNOSTICS SIZE 5</w:t>
      </w:r>
    </w:p>
    <w:p w:rsidR="00716501" w:rsidRPr="00716501" w:rsidRDefault="00716501" w:rsidP="00716501">
      <w:r w:rsidRPr="00716501">
        <w:t>ISOLATION LEVEL SERIALIZABLE;</w:t>
      </w:r>
    </w:p>
    <w:p w:rsidR="00716501" w:rsidRPr="00716501" w:rsidRDefault="00716501" w:rsidP="00716501">
      <w:r w:rsidRPr="00716501">
        <w:t>EXEC SQL INSERT INTO EMPLOYEE (FNAME, LNAME, SSN, DNO, SALARY) VALUES (‘Robert’, ‘Smith’, ‘991004321’, 2, 35000);</w:t>
      </w:r>
    </w:p>
    <w:p w:rsidR="00716501" w:rsidRPr="00716501" w:rsidRDefault="00716501" w:rsidP="00716501">
      <w:r w:rsidRPr="00716501">
        <w:t>EXEC SQL UPDATE EMPLOYEE</w:t>
      </w:r>
    </w:p>
    <w:p w:rsidR="00716501" w:rsidRPr="00716501" w:rsidRDefault="00716501" w:rsidP="00716501">
      <w:r w:rsidRPr="00716501">
        <w:t>SET SALARY = SALARY * 1.1 WHERE DNO = 2;</w:t>
      </w:r>
    </w:p>
    <w:p w:rsidR="00716501" w:rsidRPr="00716501" w:rsidRDefault="00716501" w:rsidP="00716501">
      <w:r w:rsidRPr="00716501">
        <w:t>EXEC SQL COMMIT;</w:t>
      </w:r>
    </w:p>
    <w:p w:rsidR="00716501" w:rsidRPr="00716501" w:rsidRDefault="00716501" w:rsidP="00716501">
      <w:r w:rsidRPr="00716501">
        <w:t>GOTO THE_END;</w:t>
      </w:r>
    </w:p>
    <w:p w:rsidR="00716501" w:rsidRPr="00716501" w:rsidRDefault="00716501" w:rsidP="00716501">
      <w:r w:rsidRPr="00716501">
        <w:t>UNDO: EXEC SQL ROLLBACK;</w:t>
      </w:r>
    </w:p>
    <w:p w:rsidR="00716501" w:rsidRPr="00716501" w:rsidRDefault="00716501" w:rsidP="00716501">
      <w:r w:rsidRPr="00716501">
        <w:t>THE_END: ...;</w:t>
      </w:r>
    </w:p>
    <w:p w:rsidR="00716501" w:rsidRPr="00716501" w:rsidRDefault="00716501" w:rsidP="00716501">
      <w:r w:rsidRPr="00716501">
        <w:t>The above transaction consists of first inserting a new row in the EMPLOYEE table and then updating the salary of all employees who work in department 2. If an error occurs on any of the SQL statements, the entire transaction is rolled back. This implies that any updated salary (by this transaction) would be restored to its previous value and that the newly inserted row would be removed.</w:t>
      </w:r>
    </w:p>
    <w:p w:rsidR="00716501" w:rsidRPr="00716501" w:rsidRDefault="00716501" w:rsidP="00716501">
      <w:r w:rsidRPr="00716501">
        <w:t xml:space="preserve">As we have seen, SQL provides a number of transaction-oriented features. The DBA or database programmers can take advantage of these options to try improving transaction performance by relaxing </w:t>
      </w:r>
      <w:proofErr w:type="spellStart"/>
      <w:r w:rsidRPr="00716501">
        <w:t>serializability</w:t>
      </w:r>
      <w:proofErr w:type="spellEnd"/>
      <w:r w:rsidRPr="00716501">
        <w:t xml:space="preserve"> if that is acceptable for their applications.</w:t>
      </w:r>
    </w:p>
    <w:p w:rsidR="00716501" w:rsidRPr="008C13BF" w:rsidRDefault="00716501">
      <w:pPr>
        <w:rPr>
          <w:b/>
        </w:rPr>
      </w:pPr>
      <w:bookmarkStart w:id="0" w:name="_GoBack"/>
      <w:bookmarkEnd w:id="0"/>
    </w:p>
    <w:sectPr w:rsidR="00716501" w:rsidRPr="008C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B53FC"/>
    <w:multiLevelType w:val="hybridMultilevel"/>
    <w:tmpl w:val="64B8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548AC"/>
    <w:multiLevelType w:val="multilevel"/>
    <w:tmpl w:val="531E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415CDC"/>
    <w:multiLevelType w:val="hybridMultilevel"/>
    <w:tmpl w:val="3694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BF"/>
    <w:rsid w:val="0026232D"/>
    <w:rsid w:val="00716501"/>
    <w:rsid w:val="008C13BF"/>
    <w:rsid w:val="0090134B"/>
    <w:rsid w:val="00A735FC"/>
    <w:rsid w:val="00EB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2DC-A8C3-4755-B9E4-6EBE30C0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8C13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3BF"/>
    <w:rPr>
      <w:color w:val="0000FF"/>
      <w:u w:val="single"/>
    </w:rPr>
  </w:style>
  <w:style w:type="character" w:customStyle="1" w:styleId="apple-converted-space">
    <w:name w:val="apple-converted-space"/>
    <w:basedOn w:val="DefaultParagraphFont"/>
    <w:rsid w:val="008C13BF"/>
  </w:style>
  <w:style w:type="character" w:styleId="HTMLCode">
    <w:name w:val="HTML Code"/>
    <w:basedOn w:val="DefaultParagraphFont"/>
    <w:uiPriority w:val="99"/>
    <w:semiHidden/>
    <w:unhideWhenUsed/>
    <w:rsid w:val="008C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3BF"/>
    <w:rPr>
      <w:rFonts w:ascii="Courier New" w:eastAsia="Times New Roman" w:hAnsi="Courier New" w:cs="Courier New"/>
      <w:sz w:val="20"/>
      <w:szCs w:val="20"/>
    </w:rPr>
  </w:style>
  <w:style w:type="table" w:styleId="TableGrid">
    <w:name w:val="Table Grid"/>
    <w:basedOn w:val="TableNormal"/>
    <w:uiPriority w:val="59"/>
    <w:rsid w:val="00901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1300">
      <w:bodyDiv w:val="1"/>
      <w:marLeft w:val="0"/>
      <w:marRight w:val="0"/>
      <w:marTop w:val="0"/>
      <w:marBottom w:val="0"/>
      <w:divBdr>
        <w:top w:val="none" w:sz="0" w:space="0" w:color="auto"/>
        <w:left w:val="none" w:sz="0" w:space="0" w:color="auto"/>
        <w:bottom w:val="none" w:sz="0" w:space="0" w:color="auto"/>
        <w:right w:val="none" w:sz="0" w:space="0" w:color="auto"/>
      </w:divBdr>
    </w:div>
    <w:div w:id="67895431">
      <w:bodyDiv w:val="1"/>
      <w:marLeft w:val="0"/>
      <w:marRight w:val="0"/>
      <w:marTop w:val="0"/>
      <w:marBottom w:val="0"/>
      <w:divBdr>
        <w:top w:val="none" w:sz="0" w:space="0" w:color="auto"/>
        <w:left w:val="none" w:sz="0" w:space="0" w:color="auto"/>
        <w:bottom w:val="none" w:sz="0" w:space="0" w:color="auto"/>
        <w:right w:val="none" w:sz="0" w:space="0" w:color="auto"/>
      </w:divBdr>
    </w:div>
    <w:div w:id="555553497">
      <w:bodyDiv w:val="1"/>
      <w:marLeft w:val="0"/>
      <w:marRight w:val="0"/>
      <w:marTop w:val="0"/>
      <w:marBottom w:val="0"/>
      <w:divBdr>
        <w:top w:val="none" w:sz="0" w:space="0" w:color="auto"/>
        <w:left w:val="none" w:sz="0" w:space="0" w:color="auto"/>
        <w:bottom w:val="none" w:sz="0" w:space="0" w:color="auto"/>
        <w:right w:val="none" w:sz="0" w:space="0" w:color="auto"/>
      </w:divBdr>
    </w:div>
    <w:div w:id="723913886">
      <w:bodyDiv w:val="1"/>
      <w:marLeft w:val="0"/>
      <w:marRight w:val="0"/>
      <w:marTop w:val="0"/>
      <w:marBottom w:val="0"/>
      <w:divBdr>
        <w:top w:val="none" w:sz="0" w:space="0" w:color="auto"/>
        <w:left w:val="none" w:sz="0" w:space="0" w:color="auto"/>
        <w:bottom w:val="none" w:sz="0" w:space="0" w:color="auto"/>
        <w:right w:val="none" w:sz="0" w:space="0" w:color="auto"/>
      </w:divBdr>
    </w:div>
    <w:div w:id="880048406">
      <w:bodyDiv w:val="1"/>
      <w:marLeft w:val="0"/>
      <w:marRight w:val="0"/>
      <w:marTop w:val="0"/>
      <w:marBottom w:val="0"/>
      <w:divBdr>
        <w:top w:val="none" w:sz="0" w:space="0" w:color="auto"/>
        <w:left w:val="none" w:sz="0" w:space="0" w:color="auto"/>
        <w:bottom w:val="none" w:sz="0" w:space="0" w:color="auto"/>
        <w:right w:val="none" w:sz="0" w:space="0" w:color="auto"/>
      </w:divBdr>
    </w:div>
    <w:div w:id="1136528179">
      <w:bodyDiv w:val="1"/>
      <w:marLeft w:val="0"/>
      <w:marRight w:val="0"/>
      <w:marTop w:val="0"/>
      <w:marBottom w:val="0"/>
      <w:divBdr>
        <w:top w:val="none" w:sz="0" w:space="0" w:color="auto"/>
        <w:left w:val="none" w:sz="0" w:space="0" w:color="auto"/>
        <w:bottom w:val="none" w:sz="0" w:space="0" w:color="auto"/>
        <w:right w:val="none" w:sz="0" w:space="0" w:color="auto"/>
      </w:divBdr>
    </w:div>
    <w:div w:id="205942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my.vertica.com/docs/6.1.x/HTML/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toggleBlock('14712')"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A_Bsek</dc:creator>
  <cp:keywords/>
  <dc:description/>
  <cp:lastModifiedBy>A_Bsek</cp:lastModifiedBy>
  <cp:revision>2</cp:revision>
  <dcterms:created xsi:type="dcterms:W3CDTF">2015-11-05T05:37:00Z</dcterms:created>
  <dcterms:modified xsi:type="dcterms:W3CDTF">2015-11-05T06:16:00Z</dcterms:modified>
</cp:coreProperties>
</file>