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C4" w:rsidRPr="00B71D37" w:rsidRDefault="00464EC4" w:rsidP="00464EC4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464EC4" w:rsidRPr="00B71D37" w:rsidRDefault="00464EC4" w:rsidP="00464EC4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464EC4" w:rsidRPr="00B71D37" w:rsidRDefault="00464EC4" w:rsidP="00464EC4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464EC4" w:rsidRPr="00B71D37" w:rsidRDefault="00464EC4" w:rsidP="00464EC4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C4" w:rsidRPr="00B71D37" w:rsidRDefault="00464EC4" w:rsidP="00464EC4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464EC4" w:rsidRPr="00B71D37" w:rsidRDefault="00464EC4" w:rsidP="00464EC4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Theory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#7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464EC4" w:rsidRPr="00B71D37" w:rsidRDefault="00464EC4" w:rsidP="00464EC4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4EC4" w:rsidRPr="00510660" w:rsidRDefault="00464EC4" w:rsidP="00464EC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64EC4" w:rsidRPr="00B71D37" w:rsidRDefault="00464EC4" w:rsidP="00464EC4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64EC4" w:rsidRPr="00B71D37" w:rsidRDefault="00464EC4" w:rsidP="00464EC4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464EC4" w:rsidRPr="00510660" w:rsidRDefault="00464EC4" w:rsidP="00464EC4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Sneha</w:t>
      </w:r>
      <w:proofErr w:type="spellEnd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Prasai</w:t>
      </w:r>
      <w:proofErr w:type="spellEnd"/>
    </w:p>
    <w:p w:rsidR="00464EC4" w:rsidRPr="00510660" w:rsidRDefault="00464EC4" w:rsidP="00464EC4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464EC4" w:rsidRPr="00B71D37" w:rsidRDefault="00464EC4" w:rsidP="00464EC4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64EC4" w:rsidRPr="00B71D37" w:rsidRDefault="00464EC4" w:rsidP="00464EC4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464EC4" w:rsidRPr="00B71D37" w:rsidTr="00693490">
        <w:trPr>
          <w:trHeight w:val="1448"/>
        </w:trPr>
        <w:tc>
          <w:tcPr>
            <w:tcW w:w="4623" w:type="dxa"/>
            <w:vAlign w:val="center"/>
          </w:tcPr>
          <w:p w:rsidR="00464EC4" w:rsidRPr="00B71D37" w:rsidRDefault="00464EC4" w:rsidP="0069349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</w:t>
            </w:r>
            <w:proofErr w:type="spellEnd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464EC4" w:rsidRPr="00B71D37" w:rsidRDefault="00464EC4" w:rsidP="0069349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464EC4" w:rsidRPr="00B71D37" w:rsidRDefault="00464EC4" w:rsidP="0069349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64EC4" w:rsidRPr="00B71D37" w:rsidTr="00693490">
        <w:trPr>
          <w:trHeight w:val="395"/>
        </w:trPr>
        <w:tc>
          <w:tcPr>
            <w:tcW w:w="9242" w:type="dxa"/>
            <w:gridSpan w:val="2"/>
          </w:tcPr>
          <w:p w:rsidR="00464EC4" w:rsidRPr="00B71D37" w:rsidRDefault="00464EC4" w:rsidP="0069349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604EEE" w:rsidRDefault="00604EEE"/>
    <w:p w:rsidR="00464EC4" w:rsidRDefault="00464EC4" w:rsidP="00464EC4">
      <w:pPr>
        <w:pStyle w:val="ListParagraph"/>
        <w:numPr>
          <w:ilvl w:val="0"/>
          <w:numId w:val="3"/>
        </w:numPr>
      </w:pPr>
      <w:r>
        <w:lastRenderedPageBreak/>
        <w:t>Data definition language</w:t>
      </w:r>
    </w:p>
    <w:p w:rsidR="00464EC4" w:rsidRDefault="00464EC4"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19"/>
          <w:szCs w:val="19"/>
          <w:shd w:val="clear" w:color="auto" w:fill="FFFFFF"/>
        </w:rPr>
        <w:t>data definition language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19"/>
          <w:szCs w:val="19"/>
          <w:shd w:val="clear" w:color="auto" w:fill="FFFFFF"/>
        </w:rPr>
        <w:t>data description language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19"/>
          <w:szCs w:val="19"/>
          <w:shd w:val="clear" w:color="auto" w:fill="FFFFFF"/>
        </w:rPr>
        <w:t>DDL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) is a syntax similar to a computer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6" w:tooltip="Programming language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programming language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for defining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7" w:tooltip="Data structure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data structures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, especially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8" w:tooltip="Database schema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database schemas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r>
        <w:rPr>
          <w:rFonts w:ascii="Calibri" w:hAnsi="Calibri" w:cs="Calibri"/>
          <w:color w:val="000000"/>
          <w:shd w:val="clear" w:color="auto" w:fill="FFFFFF"/>
        </w:rPr>
        <w:t>DDL statements create, modify, and remove database objects such as tables, indexes, and users. Common DDL statements are CREATE, ALTER, and DROP.</w:t>
      </w:r>
    </w:p>
    <w:p w:rsidR="00464EC4" w:rsidRDefault="00464EC4">
      <w:r>
        <w:t>1.2 domain type in SQL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n) (or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character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(n)): fixed-length character string, with user-specified length.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varchar</w:t>
      </w:r>
      <w:proofErr w:type="spell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n) (or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character varying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): variable-length character string, with user-specified maximum length.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integer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: an integer (length is machine-dependent).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smallint</w:t>
      </w:r>
      <w:proofErr w:type="spellEnd"/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: a small integer (length is machine-dependent).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numeric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4EC4">
        <w:rPr>
          <w:rFonts w:ascii="Times New Roman" w:eastAsia="Times New Roman" w:hAnsi="Times New Roman" w:cs="Times New Roman"/>
          <w:i/>
          <w:iCs/>
          <w:color w:val="000000"/>
          <w:sz w:val="27"/>
        </w:rPr>
        <w:t>p, d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): a fixed-point number with user-specified precision, consists of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digits (plus a sign) and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digits are to the right of the decimal point. E.g.,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numeric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4EC4">
        <w:rPr>
          <w:rFonts w:ascii="Times New Roman" w:eastAsia="Times New Roman" w:hAnsi="Times New Roman" w:cs="Times New Roman"/>
          <w:i/>
          <w:iCs/>
          <w:color w:val="000000"/>
          <w:sz w:val="27"/>
        </w:rPr>
        <w:t>3, 1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) allows 44.5 to be stored exactly but not 444.5.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real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double precision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: floating-point or double-precision floating-point numbers, with machine-dependent precision.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float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n): floating-point, with user-specified precision of at least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464EC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digits.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: a calendar date, containing four digit year, month, and day of the month.</w:t>
      </w:r>
    </w:p>
    <w:p w:rsidR="00464EC4" w:rsidRPr="00464EC4" w:rsidRDefault="00464EC4" w:rsidP="0046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</w:t>
      </w:r>
      <w:proofErr w:type="gramEnd"/>
      <w:r w:rsidRPr="00464EC4">
        <w:rPr>
          <w:rFonts w:ascii="Times New Roman" w:eastAsia="Times New Roman" w:hAnsi="Times New Roman" w:cs="Times New Roman"/>
          <w:color w:val="000000"/>
          <w:sz w:val="27"/>
          <w:szCs w:val="27"/>
        </w:rPr>
        <w:t>: the time of the day in hours, minutes, and seconds.</w:t>
      </w:r>
    </w:p>
    <w:p w:rsidR="00464EC4" w:rsidRPr="00464EC4" w:rsidRDefault="00464EC4" w:rsidP="00464E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It allows arithmetic and comparison operations on various numeric domains, including, 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interval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cast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type coercion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) such as transforming between </w:t>
      </w:r>
      <w:proofErr w:type="spellStart"/>
      <w:r w:rsidRPr="00464E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smallint</w:t>
      </w:r>
      <w:proofErr w:type="spellEnd"/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. It considers strings with different length are compatible types as well.</w:t>
      </w:r>
    </w:p>
    <w:p w:rsidR="00464EC4" w:rsidRPr="00464EC4" w:rsidRDefault="00464EC4" w:rsidP="00464E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It allows 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domain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 statement, e.g.,</w:t>
      </w:r>
    </w:p>
    <w:p w:rsidR="00464EC4" w:rsidRDefault="00464EC4" w:rsidP="0046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64E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gramEnd"/>
      <w:r w:rsidRPr="00464E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domain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E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person-name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E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464EC4">
        <w:rPr>
          <w:rFonts w:ascii="Times New Roman" w:eastAsia="Times New Roman" w:hAnsi="Times New Roman" w:cs="Times New Roman"/>
          <w:color w:val="000000"/>
          <w:sz w:val="24"/>
          <w:szCs w:val="24"/>
        </w:rPr>
        <w:t>(20)</w:t>
      </w:r>
    </w:p>
    <w:p w:rsidR="00464EC4" w:rsidRPr="00464EC4" w:rsidRDefault="00464EC4" w:rsidP="00464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4EC4" w:rsidRDefault="00464EC4">
      <w:r>
        <w:t>1.3 schema definition in SQL</w:t>
      </w:r>
    </w:p>
    <w:p w:rsidR="00464EC4" w:rsidRDefault="00464EC4" w:rsidP="00464EC4">
      <w:proofErr w:type="gramStart"/>
      <w:r>
        <w:t>The structure of a database system described in a formal language supported by the database management system (DBMS).</w:t>
      </w:r>
      <w:proofErr w:type="gramEnd"/>
      <w:r>
        <w:t xml:space="preserve"> In a relational database, the schema defines the tables, the fields in each table, and the relationships between fields and tables.</w:t>
      </w:r>
    </w:p>
    <w:p w:rsidR="00464EC4" w:rsidRDefault="00464EC4" w:rsidP="00464EC4">
      <w:r>
        <w:t>Schemas are generally stored in a data dictionary. Although a schema is defined in text database language, the term is often used to refer to a graphical depiction of the database structure.</w:t>
      </w:r>
    </w:p>
    <w:p w:rsidR="00464EC4" w:rsidRDefault="00464EC4">
      <w:r>
        <w:t>2.  Data manipulation language</w:t>
      </w:r>
    </w:p>
    <w:p w:rsidR="00464EC4" w:rsidRDefault="00464EC4">
      <w:r>
        <w:t xml:space="preserve">2.1 </w:t>
      </w:r>
      <w:proofErr w:type="gramStart"/>
      <w:r>
        <w:t>the</w:t>
      </w:r>
      <w:proofErr w:type="gramEnd"/>
      <w:r>
        <w:t xml:space="preserve"> select clause</w:t>
      </w:r>
    </w:p>
    <w:p w:rsidR="00464EC4" w:rsidRDefault="00464EC4">
      <w:r>
        <w:t xml:space="preserve">2.2 </w:t>
      </w:r>
      <w:proofErr w:type="gramStart"/>
      <w:r>
        <w:t>the</w:t>
      </w:r>
      <w:proofErr w:type="gramEnd"/>
      <w:r>
        <w:t xml:space="preserve"> where clause</w:t>
      </w:r>
    </w:p>
    <w:p w:rsidR="00464EC4" w:rsidRDefault="00464EC4">
      <w:r>
        <w:lastRenderedPageBreak/>
        <w:t xml:space="preserve">2.3 </w:t>
      </w:r>
      <w:proofErr w:type="gramStart"/>
      <w:r>
        <w:t>the</w:t>
      </w:r>
      <w:proofErr w:type="gramEnd"/>
      <w:r>
        <w:t xml:space="preserve"> form clause</w:t>
      </w:r>
    </w:p>
    <w:p w:rsidR="00464EC4" w:rsidRDefault="00464EC4">
      <w:r>
        <w:t xml:space="preserve">2.4 </w:t>
      </w:r>
      <w:proofErr w:type="gramStart"/>
      <w:r>
        <w:t>the</w:t>
      </w:r>
      <w:proofErr w:type="gramEnd"/>
      <w:r>
        <w:t xml:space="preserve"> rename clause</w:t>
      </w:r>
    </w:p>
    <w:p w:rsidR="00464EC4" w:rsidRDefault="00464EC4">
      <w:r>
        <w:t xml:space="preserve">2.5 </w:t>
      </w:r>
      <w:proofErr w:type="spellStart"/>
      <w:r>
        <w:t>tupule</w:t>
      </w:r>
      <w:proofErr w:type="spellEnd"/>
      <w:r>
        <w:t xml:space="preserve"> variable</w:t>
      </w:r>
    </w:p>
    <w:p w:rsidR="00464EC4" w:rsidRDefault="00464EC4">
      <w:r>
        <w:t>2.6 string operation</w:t>
      </w:r>
    </w:p>
    <w:p w:rsidR="00464EC4" w:rsidRDefault="00464EC4">
      <w:r>
        <w:t xml:space="preserve">2.7 ordering the display of </w:t>
      </w:r>
      <w:proofErr w:type="spellStart"/>
      <w:r>
        <w:t>tupules</w:t>
      </w:r>
      <w:proofErr w:type="spellEnd"/>
    </w:p>
    <w:p w:rsidR="00464EC4" w:rsidRDefault="00464EC4">
      <w:r>
        <w:t xml:space="preserve">2.8 duplicate </w:t>
      </w:r>
      <w:proofErr w:type="spellStart"/>
      <w:r>
        <w:t>tupules</w:t>
      </w:r>
      <w:proofErr w:type="spellEnd"/>
    </w:p>
    <w:sectPr w:rsidR="00464EC4" w:rsidSect="0060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E1109"/>
    <w:multiLevelType w:val="hybridMultilevel"/>
    <w:tmpl w:val="5FA0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91F06"/>
    <w:multiLevelType w:val="multilevel"/>
    <w:tmpl w:val="CA0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2A5FC9"/>
    <w:multiLevelType w:val="multilevel"/>
    <w:tmpl w:val="D26C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4EC4"/>
    <w:rsid w:val="00464EC4"/>
    <w:rsid w:val="0060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C4"/>
    <w:pPr>
      <w:ind w:left="720"/>
      <w:contextualSpacing/>
    </w:pPr>
  </w:style>
  <w:style w:type="table" w:styleId="TableGrid">
    <w:name w:val="Table Grid"/>
    <w:basedOn w:val="TableNormal"/>
    <w:uiPriority w:val="59"/>
    <w:rsid w:val="00464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4EC4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C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4EC4"/>
  </w:style>
  <w:style w:type="character" w:styleId="Hyperlink">
    <w:name w:val="Hyperlink"/>
    <w:basedOn w:val="DefaultParagraphFont"/>
    <w:uiPriority w:val="99"/>
    <w:semiHidden/>
    <w:unhideWhenUsed/>
    <w:rsid w:val="00464E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4E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EC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64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base_sch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2015-09-27T03:01:00Z</dcterms:created>
  <dcterms:modified xsi:type="dcterms:W3CDTF">2015-09-27T03:17:00Z</dcterms:modified>
</cp:coreProperties>
</file>