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40"/>
          <w:szCs w:val="40"/>
        </w:rPr>
        <w:t xml:space="preserve">AI OS — Market, Segment &amp; ICP Brief</w:t>
      </w:r>
    </w:p>
    <w:p>
      <w:pPr>
        <w:spacing w:after="40"/>
      </w:pPr>
      <w:r>
        <w:rPr>
          <w:color w:val="595959"/>
          <w:sz w:val="24"/>
          <w:szCs w:val="24"/>
        </w:rPr>
        <w:t xml:space="preserve">Where to start selling the cold-to-warm lead demo</w:t>
      </w:r>
    </w:p>
    <w:p>
      <w:pPr>
        <w:spacing w:after="200"/>
      </w:pPr>
      <w:r>
        <w:rPr>
          <w:color w:val="595959"/>
          <w:sz w:val="18"/>
          <w:szCs w:val="18"/>
        </w:rPr>
        <w:t xml:space="preserve">Prepared for Austin (Huy Anh Nguyen)  •  May 29, 2026</w:t>
      </w:r>
    </w:p>
    <w:p>
      <w:pPr>
        <w:pStyle w:val="Heading1"/>
      </w:pPr>
      <w:r>
        <w:t xml:space="preserve">Bottom 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Start in Vietnam as your beachhead. </w:t>
      </w:r>
      <w:r>
        <w:t xml:space="preserve">It's the only market where you can win deals now: home base, a local marketing partner, in-person pitching, and a low-competition early market. Use it to land your first 2-3 clients and build case studies.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Price in USD and design the demo to travel. </w:t>
      </w:r>
      <w:r>
        <w:t xml:space="preserve">VN willingness-to-pay is lower, so keep Rung 0-1 priced for VN but build every workflow and case study to be portable. Once proven, the same demo unlocks higher-ticket Rung 2/3 work with US and Singapore clients.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Lead with one segment: education / training centers. </w:t>
      </w:r>
      <w:r>
        <w:t xml:space="preserve">Your partner (Let's Speak Vietnamese) is in this space, giving you warm intros and a live testbed. The cold-to-warm lead demo maps exactly onto their leaky, manual inbound follow-up.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Then widen to real estate and insurance / financial advisory. </w:t>
      </w:r>
      <w:r>
        <w:t xml:space="preserve">Both have high lead volume, clear SOPs, obvious commission-based ROI, and (for insurance) the highest retainers with the least competition.</w:t>
      </w:r>
    </w:p>
    <w:p>
      <w:pPr>
        <w:pStyle w:val="Heading1"/>
      </w:pPr>
      <w:r>
        <w:t xml:space="preserve">Market comparison: Vietnam vs US vs SEA</w:t>
      </w:r>
    </w:p>
    <w:p>
      <w:pPr>
        <w:spacing w:after="120"/>
      </w:pPr>
      <w:r>
        <w:t xml:space="preserve">All three markets are adopting AI fast, but they differ on what matters for a pre-revenue, solo founder: can you actually reach and close customers right now?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87"/>
        <w:gridCol w:w="2587"/>
        <w:gridCol w:w="258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5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Vietnam</w:t>
            </w:r>
          </w:p>
        </w:tc>
        <w:tc>
          <w:tcPr>
            <w:tcW w:type="dxa" w:w="25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2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SEA (SG / PH / ID)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Mid-market AI adoption</w:t>
            </w:r>
          </w:p>
        </w:tc>
        <w:tc>
          <w:tcPr>
            <w:tcW w:type="dxa" w:w="25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High: 65% of SMEs use AI; 80% of firms used AI in past yr (vs 69% regional)</w:t>
            </w:r>
          </w:p>
        </w:tc>
        <w:tc>
          <w:tcPr>
            <w:tcW w:type="dxa" w:w="25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Very high: 94% use genAI, but only 27% "wide" adoption</w:t>
            </w:r>
          </w:p>
        </w:tc>
        <w:tc>
          <w:tcPr>
            <w:tcW w:type="dxa" w:w="2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46% scaling past pilot (vs 35% global); SG leads at 56%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Willingness to pay</w:t>
            </w:r>
          </w:p>
        </w:tc>
        <w:tc>
          <w:tcPr>
            <w:tcW w:type="dxa" w:w="25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Low-moderate. Cost is a top barrier; weak implementation support</w:t>
            </w:r>
          </w:p>
        </w:tc>
        <w:tc>
          <w:tcPr>
            <w:tcW w:type="dxa" w:w="25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High. Mid-mkt marketing AI spend $1.2k/mo (2025) to $3.4k/mo (2026)</w:t>
            </w:r>
          </w:p>
        </w:tc>
        <w:tc>
          <w:tcPr>
            <w:tcW w:type="dxa" w:w="2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in SG; SME adoption lags (14.5% vs 62.5% non-SME)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Your access / edge</w:t>
            </w:r>
          </w:p>
        </w:tc>
        <w:tc>
          <w:tcPr>
            <w:tcW w:type="dxa" w:w="25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Strong. Home base, local partner, in-person pitch, warm network</w:t>
            </w:r>
          </w:p>
        </w:tc>
        <w:tc>
          <w:tcPr>
            <w:tcW w:type="dxa" w:w="25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Weak now. Remote, timezone, no live network; US degrees help credibility</w:t>
            </w:r>
          </w:p>
        </w:tc>
        <w:tc>
          <w:tcPr>
            <w:tcW w:type="dxa" w:w="2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Moderate. BPO background fits SG/PH; no local presence yet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Competition</w:t>
            </w:r>
          </w:p>
        </w:tc>
        <w:tc>
          <w:tcPr>
            <w:tcW w:type="dxa" w:w="25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 for boutique AIOS consulting; market still early</w:t>
            </w:r>
          </w:p>
        </w:tc>
        <w:tc>
          <w:tcPr>
            <w:tcW w:type="dxa" w:w="25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High. Crowded agency / automation market</w:t>
            </w:r>
          </w:p>
        </w:tc>
        <w:tc>
          <w:tcPr>
            <w:tcW w:type="dxa" w:w="2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Moderate-high in SG; lighter in PH / regional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Best role in plan</w:t>
            </w:r>
          </w:p>
        </w:tc>
        <w:tc>
          <w:tcPr>
            <w:tcW w:type="dxa" w:w="25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BEACHHEAD: land first deals + build case studies</w:t>
            </w:r>
          </w:p>
        </w:tc>
        <w:tc>
          <w:tcPr>
            <w:tcW w:type="dxa" w:w="25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EXPANSION: higher-ticket Rung 2/3 once proven</w:t>
            </w:r>
          </w:p>
        </w:tc>
        <w:tc>
          <w:tcPr>
            <w:tcW w:type="dxa" w:w="2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EXPANSION: SG / PH via English + BPO angle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Read it this way: </w:t>
      </w:r>
      <w:r>
        <w:t xml:space="preserve">the US and Singapore have the money, but you can't reach them efficiently yet. Vietnam has the access. The winning move is land-and-learn at home, then export proven case studies to higher-paying markets.</w:t>
      </w:r>
    </w:p>
    <w:p>
      <w:pPr>
        <w:pStyle w:val="Heading1"/>
      </w:pPr>
      <w:r>
        <w:t xml:space="preserve">Recommended beachhead: Vietnam</w:t>
      </w:r>
    </w:p>
    <w:p>
      <w:pPr>
        <w:pStyle w:val="Heading2"/>
      </w:pPr>
      <w:r>
        <w:t xml:space="preserve">Why Vietnam first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Adoption is real, not hype: ~65% of VN SMEs already use AI tools and 80% of businesses used AI in the past year — above the regional 69% average. The buyer mindset exists.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Tailwinds: the SME Digital Transformation Plan 2026-2030 targets 500,000 SMEs with subsidies and credit; the new Investment Law (effective Mar 1, 2026) and rising FDI (USD 28.5B in 9M 2025, +15.2%) are pushing cash into manufacturing, real estate, and tech.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Your unfair advantages: you live here, English + US degrees give credibility, and you have a marketing partner who already sells to local businesses.</w:t>
      </w:r>
    </w:p>
    <w:p>
      <w:pPr>
        <w:pStyle w:val="Heading2"/>
      </w:pPr>
      <w:r>
        <w:t xml:space="preserve">The catch (and how to handle 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Barriers in VN are cost, skill gaps, and weak implementation support — which is exactly what your Rung 0 (cheap first touch) and hands-on build model solve. Frame yourself as the implementation partner, not a tool vendor.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Deal sizes run smaller. Keep Rung 0-1 accessible for VN, but quote in USD and treat early clients as case-study factories, not your margin engine.</w:t>
      </w:r>
    </w:p>
    <w:p>
      <w:pPr>
        <w:pStyle w:val="Heading1"/>
      </w:pPr>
      <w:r>
        <w:t xml:space="preserve">Target segments &amp; scoring</w:t>
      </w:r>
    </w:p>
    <w:p>
      <w:pPr>
        <w:spacing w:after="120"/>
      </w:pPr>
      <w:r>
        <w:t xml:space="preserve">Ranked by fit for your cold-to-warm lead demo — weighing demo fit, whether they have cash and documented SOPs, and how easily you can reach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300"/>
        <w:gridCol w:w="1300"/>
        <w:gridCol w:w="30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Demo fit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Cash + SOPs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Your access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it's a fit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Education / training centers &amp; ed-tech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Partner (Let's Speak VN) is in this space = warm intros. High inbound lead volume, leaky manual follow-up = exact demo fit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Real estate / brokerages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Huge VN market + FDI growth. Commission-driven, so cold-to-warm ROI is obvious and easy to sell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Insurance / financial advisory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Highest retainers globally ($3-7k/mo), low competition. Clear SOPs, follow-up heavy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B2B agencies / professional services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Honorable mention. They get the value fast and can become referral channel / white-label partners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Export / foreign-invested manufacturing SMEs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Honorable mention. Your supply chain + Anaplan edge fits, but pain is ops not sales/mktg. Save for Rung 2</w:t>
            </w:r>
          </w:p>
        </w:tc>
      </w:tr>
    </w:tbl>
    <w:p>
      <w:pPr>
        <w:pStyle w:val="Heading2"/>
      </w:pPr>
      <w:r>
        <w:t xml:space="preserve">1. Education / training centers &amp; ed-tech (lead here)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Why: high inbound lead volume from ads and referrals, but follow-up is manual and leaky — the textbook cold-to-warm problem. SOPs (enrollment funnels, follow-up scripts) already exist.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Edge: your partner operates here. Use one center as a live pilot, capture the before/after numbers, and turn it into your flagship case study.</w:t>
      </w:r>
    </w:p>
    <w:p>
      <w:pPr>
        <w:pStyle w:val="Heading2"/>
      </w:pPr>
      <w:r>
        <w:t xml:space="preserve">2. Real estate / brokerages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Why: large, FDI-fueled VN market; agents live or die by lead response speed. Cold-to-warm automation has an obvious, commission-linked ROI that sells itself.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Watch: fragmented, many tiny shops — target mid-size brokerages with 15+ agents and a marketing budget, not solo agents.</w:t>
      </w:r>
    </w:p>
    <w:p>
      <w:pPr>
        <w:pStyle w:val="Heading2"/>
      </w:pPr>
      <w:r>
        <w:t xml:space="preserve">3. Insurance / financial advisory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Why: globally the highest retainers ($3-7k/mo) with low competition. Heavily SOP- and compliance-driven, with relentless follow-up needs that automation handles well.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Watch: compliance sensitivity — keep humans in the loop on regulated communications; sell time-savings on qualification and nurture, not auto-decisions.</w:t>
      </w:r>
    </w:p>
    <w:p>
      <w:pPr>
        <w:pStyle w:val="Heading2"/>
      </w:pPr>
      <w:r>
        <w:t xml:space="preserve">Honorable mentions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B2B agencies / professional services: </w:t>
      </w:r>
      <w:r>
        <w:t xml:space="preserve">fast to grasp the value and a strong referral / white-label channel — useful for distribution even if not your core ICP.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Export / foreign-invested manufacturing SMEs: </w:t>
      </w:r>
      <w:r>
        <w:t xml:space="preserve">cash and SOPs are strong and your supply chain + Anaplan background fits, but their pain is operations, not sales/marketing. Park this for Rung 2 ops builds later.</w:t>
      </w:r>
    </w:p>
    <w:p>
      <w:pPr>
        <w:pStyle w:val="Heading1"/>
      </w:pPr>
      <w:r>
        <w:t xml:space="preserve">Ideal customer profile (ICP)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Size: </w:t>
      </w:r>
      <w:r>
        <w:t xml:space="preserve">Mid-market, roughly 50-500 staff (or a clearly profitable owner-led firm). Big enough to have budget and documented processes, small enough that the owner still feels the pain and can say yes fast.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Cash signal: </w:t>
      </w:r>
      <w:r>
        <w:t xml:space="preserve">Already spends on ads, a CRM, or marketing staff. If they pay for lead gen, they'll pay to stop wasting those leads.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Process signal: </w:t>
      </w:r>
      <w:r>
        <w:t xml:space="preserve">Has written SOPs or repeatable funnels — you automate what already works rather than inventing process.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Pain signal: </w:t>
      </w:r>
      <w:r>
        <w:t xml:space="preserve">High lead volume with slow or inconsistent follow-up; deals lost to response lag; a small team drowning in manual qualification.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Buyer / champion: </w:t>
      </w:r>
      <w:r>
        <w:t xml:space="preserve">Owner, head of sales/marketing, or an ops/innovation lead (someone like you) who owns the number and the process.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Disqualifiers: </w:t>
      </w:r>
      <w:r>
        <w:t xml:space="preserve">No budget, no existing process, or a buyer who wants a magic tool with zero involvement.</w:t>
      </w:r>
    </w:p>
    <w:p>
      <w:pPr>
        <w:pStyle w:val="Heading1"/>
      </w:pPr>
      <w:r>
        <w:t xml:space="preserve">Where to find them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Warm-first: your partner's network of training centers and their clients — start every conversation here.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Industry associations and chambers (VN real estate brokerages, insurance agent groups, foreign chambers like AmCham / EuroCham for FDI firms).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LinkedIn + Facebook groups where VN SME owners and marketers gather; local AI / digital-transformation events and meetups.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Referrals from B2B agencies you partner with — they already sit on your ICP and can hand off implementation work.</w:t>
      </w:r>
    </w:p>
    <w:p>
      <w:pPr>
        <w:pStyle w:val="Heading1"/>
      </w:pPr>
      <w:r>
        <w:t xml:space="preserve">Why they buy (positioning for the demo)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pitch that converts is outcome-first and quantified: "I'll turn your cold leads into booked conversations automatically, so your team stops losing deals to slow follow-up."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 with their loss, not your tech: response lag = lost revenue. Your demo shows the before/after on their own funnel.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Vertical framing wins: industry-specific automation commands 2-3x the price of generic offers. Position as "the AIOS for [education / real estate / insurance]", not generic AI consulting.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4-rung ladder de-risks the buy: cheap Rung 0 first touch, then audit, then a single ROI-proving build — each step earns the next.</w:t>
      </w:r>
    </w:p>
    <w:p>
      <w:pPr>
        <w:pStyle w:val="Heading1"/>
      </w:pPr>
      <w:r>
        <w:t xml:space="preserve">How this maps to your 4 rungs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Rung 0 (VN, education): </w:t>
      </w:r>
      <w:r>
        <w:t xml:space="preserve">Run a paid setup/consult with a partner-referred training center. Low risk, builds trust.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Rung 1 (audit): </w:t>
      </w:r>
      <w:r>
        <w:t xml:space="preserve">Map their lead funnel, quantify the leak, and propose the cold-to-warm build.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Rung 2 (build): </w:t>
      </w:r>
      <w:r>
        <w:t xml:space="preserve">Ship the automation, capture hard before/after numbers — this becomes your portable case study.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Rung 3 + expansion: </w:t>
      </w:r>
      <w:r>
        <w:t xml:space="preserve">Convert to retainer, then use the proven case study to pitch higher-ticket US / Singapore clients in the same vertical.</w:t>
      </w:r>
    </w:p>
    <w:p>
      <w:pPr>
        <w:pStyle w:val="Heading1"/>
      </w:pPr>
      <w:r>
        <w:t xml:space="preserve">Sources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msoiglco0eeba6s3lprx7">
        <w:r>
          <w:rPr>
            <w:rStyle w:val="Hyperlink"/>
            <w:sz w:val="18"/>
            <w:szCs w:val="18"/>
          </w:rPr>
          <w:t xml:space="preserve">Vietnam SME Digital Transformation Plan 2026-2030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glz9ddfkeqos9dfdk1cl9">
        <w:r>
          <w:rPr>
            <w:rStyle w:val="Hyperlink"/>
            <w:sz w:val="18"/>
            <w:szCs w:val="18"/>
          </w:rPr>
          <w:t xml:space="preserve">110 AI in Vietnam Statistics, Data &amp; Trends 2026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zwpljhqcdbhvd6n1vj6b3">
        <w:r>
          <w:rPr>
            <w:rStyle w:val="Hyperlink"/>
            <w:sz w:val="18"/>
            <w:szCs w:val="18"/>
          </w:rPr>
          <w:t xml:space="preserve">Vietnam Enterprise AI Market Report (IMARC)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fx0mi-7czjp6h4a0-yuvx">
        <w:r>
          <w:rPr>
            <w:rStyle w:val="Hyperlink"/>
            <w:sz w:val="18"/>
            <w:szCs w:val="18"/>
          </w:rPr>
          <w:t xml:space="preserve">Investing In 2026 - Vietnam (Chambers &amp; Partners)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aqdedeouyfbhov5npn0s1">
        <w:r>
          <w:rPr>
            <w:rStyle w:val="Hyperlink"/>
            <w:sz w:val="18"/>
            <w:szCs w:val="18"/>
          </w:rPr>
          <w:t xml:space="preserve">94% of Mid-Market Companies Use Generative AI (CPA Practice Advisor)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xp5uvxvgcjrdmzpnnen8o">
        <w:r>
          <w:rPr>
            <w:rStyle w:val="Hyperlink"/>
            <w:sz w:val="18"/>
            <w:szCs w:val="18"/>
          </w:rPr>
          <w:t xml:space="preserve">AI's mid-market business moment (World Economic Forum)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lrlmgoiu6a6ucotbpzvry">
        <w:r>
          <w:rPr>
            <w:rStyle w:val="Hyperlink"/>
            <w:sz w:val="18"/>
            <w:szCs w:val="18"/>
          </w:rPr>
          <w:t xml:space="preserve">AI promise outpaces progress for mid-market marketers (eMarketer)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wlekrgypd3fcxgc4whmcc">
        <w:r>
          <w:rPr>
            <w:rStyle w:val="Hyperlink"/>
            <w:sz w:val="18"/>
            <w:szCs w:val="18"/>
          </w:rPr>
          <w:t xml:space="preserve">AI in Southeast Asia: An era of opportunity (Singapore EDB)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rkbknletpvotcx-xnbnl6">
        <w:r>
          <w:rPr>
            <w:rStyle w:val="Hyperlink"/>
            <w:sz w:val="18"/>
            <w:szCs w:val="18"/>
          </w:rPr>
          <w:t xml:space="preserve">AI Adoption Southeast Asia 2026 (Samta)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qjnhor2e7wjofo6ud7fjg">
        <w:r>
          <w:rPr>
            <w:rStyle w:val="Hyperlink"/>
            <w:sz w:val="18"/>
            <w:szCs w:val="18"/>
          </w:rPr>
          <w:t xml:space="preserve">12 Most Profitable AI Automation Agency Niches 2026 (Ciela AI)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sg8l2mrwi0cmmustmvzhs">
        <w:r>
          <w:rPr>
            <w:rStyle w:val="Hyperlink"/>
            <w:sz w:val="18"/>
            <w:szCs w:val="18"/>
          </w:rPr>
          <w:t xml:space="preserve">12 Most Profitable AI Automation Agency Use Cases 2026 (Arvani)</w:t>
        </w:r>
      </w:hyperlink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AIOS Market &amp; ICP Brief  •  Confidential  •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msoiglco0eeba6s3lprx7" Type="http://schemas.openxmlformats.org/officeDocument/2006/relationships/hyperlink" Target="https://blog.investvietnam.co/vietnam-sme-digital-transformation-plan-2026-2030/" TargetMode="External"/><Relationship Id="rIdglz9ddfkeqos9dfdk1cl9" Type="http://schemas.openxmlformats.org/officeDocument/2006/relationships/hyperlink" Target="https://blog.investvietnam.co/110-ai-in-vietnam-statistics-data-trends-in-2026/" TargetMode="External"/><Relationship Id="rIdzwpljhqcdbhvd6n1vj6b3" Type="http://schemas.openxmlformats.org/officeDocument/2006/relationships/hyperlink" Target="https://www.imarcgroup.com/vietnam-enterprise-artificial-intelligence-market" TargetMode="External"/><Relationship Id="rIdfx0mi-7czjp6h4a0-yuvx" Type="http://schemas.openxmlformats.org/officeDocument/2006/relationships/hyperlink" Target="https://practiceguides.chambers.com/practice-guides/investing-in-2026/vietnam/trends-and-developments" TargetMode="External"/><Relationship Id="rIdaqdedeouyfbhov5npn0s1" Type="http://schemas.openxmlformats.org/officeDocument/2006/relationships/hyperlink" Target="https://www.cpapracticeadvisor.com/2026/05/21/94-of-mid-market-companies-use-generative-ai-but-few-have-what-it-takes-to-scale/183739/" TargetMode="External"/><Relationship Id="rIdxp5uvxvgcjrdmzpnnen8o" Type="http://schemas.openxmlformats.org/officeDocument/2006/relationships/hyperlink" Target="https://www.weforum.org/stories/2026/01/ai-mid-market-business-growth/" TargetMode="External"/><Relationship Id="rIdlrlmgoiu6a6ucotbpzvry" Type="http://schemas.openxmlformats.org/officeDocument/2006/relationships/hyperlink" Target="https://www.emarketer.com/content/smaller-marketing-firms-feel-they-re-falling-behind-on-ai" TargetMode="External"/><Relationship Id="rIdwlekrgypd3fcxgc4whmcc" Type="http://schemas.openxmlformats.org/officeDocument/2006/relationships/hyperlink" Target="https://www.edb.gov.sg/en/business-insights/market-and-industry-reports/ai-in-southeast-asia-an-era-of-opportunity.html" TargetMode="External"/><Relationship Id="rIdrkbknletpvotcx-xnbnl6" Type="http://schemas.openxmlformats.org/officeDocument/2006/relationships/hyperlink" Target="https://samta.ai/blogs/the-2026-state-of" TargetMode="External"/><Relationship Id="rIdqjnhor2e7wjofo6ud7fjg" Type="http://schemas.openxmlformats.org/officeDocument/2006/relationships/hyperlink" Target="https://ciela.ai/blogs/ai-automation-agency-niches-most-profitable" TargetMode="External"/><Relationship Id="rIdsg8l2mrwi0cmmustmvzhs" Type="http://schemas.openxmlformats.org/officeDocument/2006/relationships/hyperlink" Target="https://www.arvani-media.com/blog/12-most-profitable-ai-automation-agency-use-cases-in-2026-with-revenue-data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2026-05-29T08:42:36.313Z</dcterms:created>
  <dcterms:modified xsi:type="dcterms:W3CDTF">2026-05-29T08:42:36.314Z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