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requirements: packaging the LPR model for the Edge vision worker</w:t>
      </w:r>
    </w:p>
    <w:p>
      <w:r>
        <w:t>To: the AI team behind angweij1431/EIU_YOLO_PaddleOCR_Licenseplatedetection</w:t>
      </w:r>
    </w:p>
    <w:p>
      <w:r>
        <w:t>From: Smart Parking backend team  |  Evidence reviewed: 27 October 2026</w:t>
      </w:r>
    </w:p>
    <w:p>
      <w:pPr>
        <w:pStyle w:val="Heading1"/>
      </w:pPr>
      <w:r>
        <w:t>Context</w:t>
      </w:r>
    </w:p>
    <w:p>
      <w:r>
        <w:t>We build CerberusEdge, the parking-lot backend that communicates with Central. Its vision worker is a long-running Linux process on the parking-lot machine. Camera frames arrive in memory as RGB uint8 arrays with shape [H, W, 3]. Our team owns capture triggers, temporal voting, gate logic and reporting to Central.</w:t>
      </w:r>
    </w:p>
    <w:p>
      <w:r>
        <w:t>Decision: your team delivers the complete image-to-plate pipeline as an installable library, including its preprocessing, inference, decoding and normalisation. We integrate that library through a small Edge adapter; we will not reconstruct the pipeline from raw .onnx files.</w:t>
      </w:r>
    </w:p>
    <w:p>
      <w:pPr>
        <w:pStyle w:val="Heading1"/>
      </w:pPr>
      <w:r>
        <w:t>Why the .onnx files alone are not enough</w:t>
      </w:r>
    </w:p>
    <w:p>
      <w:r>
        <w:t>The current application relies on Python and configuration around the exported networks. Reimplementing those steps in the backend can silently change inputs or outputs and reduce accuracy. Your team should own and version these steps together with the models.</w:t>
      </w:r>
    </w:p>
    <w:tbl>
      <w:tblPr>
        <w:tblStyle w:val="LightShading-Accent1"/>
        <w:tblW w:type="auto" w:w="0"/>
        <w:jc w:val="center"/>
        <w:tblLook w:firstColumn="1" w:firstRow="1" w:lastColumn="0" w:lastRow="0" w:noHBand="0" w:noVBand="1" w:val="04A0"/>
      </w:tblPr>
      <w:tblGrid>
        <w:gridCol w:w="4975"/>
        <w:gridCol w:w="4975"/>
      </w:tblGrid>
      <w:tr>
        <w:trPr>
          <w:tblHeader/>
          <w:cantSplit/>
        </w:trPr>
        <w:tc>
          <w:tcPr>
            <w:tcW w:type="dxa" w:w="2880"/>
          </w:tcPr>
          <w:p>
            <w:pPr>
              <w:spacing w:after="80"/>
            </w:pPr>
            <w:r>
              <w:rPr>
                <w:sz w:val="18"/>
              </w:rPr>
              <w:t>Step outside the model files</w:t>
            </w:r>
          </w:p>
        </w:tc>
        <w:tc>
          <w:tcPr>
            <w:tcW w:type="dxa" w:w="6984"/>
          </w:tcPr>
          <w:p>
            <w:pPr>
              <w:spacing w:after="80"/>
            </w:pPr>
            <w:r>
              <w:rPr>
                <w:sz w:val="18"/>
              </w:rPr>
              <w:t>Verified location and integration implication</w:t>
            </w:r>
          </w:p>
        </w:tc>
      </w:tr>
      <w:tr>
        <w:trPr>
          <w:cantSplit/>
        </w:trPr>
        <w:tc>
          <w:tcPr>
            <w:tcW w:type="dxa" w:w="2880"/>
          </w:tcPr>
          <w:p>
            <w:pPr>
              <w:spacing w:after="80"/>
            </w:pPr>
            <w:r>
              <w:rPr>
                <w:sz w:val="18"/>
              </w:rPr>
              <w:t>Detector preprocessing and postprocessing</w:t>
            </w:r>
          </w:p>
        </w:tc>
        <w:tc>
          <w:tcPr>
            <w:tcW w:type="dxa" w:w="6984"/>
          </w:tcPr>
          <w:p>
            <w:pPr>
              <w:spacing w:after="80"/>
            </w:pPr>
            <w:r>
              <w:rPr>
                <w:sz w:val="18"/>
              </w:rPr>
              <w:t>lpr_engine.py:81–109 delegates to Ultralytics. Letterbox resize, BGR→RGB, layout conversion, /255 normalisation, output decoding/filtering, NMS and box rescaling are wrapper behavior [U1]. Preserve the selected export’s exact semantics.</w:t>
            </w:r>
          </w:p>
        </w:tc>
      </w:tr>
      <w:tr>
        <w:trPr>
          <w:cantSplit/>
        </w:trPr>
        <w:tc>
          <w:tcPr>
            <w:tcW w:type="dxa" w:w="2880"/>
          </w:tcPr>
          <w:p>
            <w:pPr>
              <w:spacing w:after="80"/>
            </w:pPr>
            <w:r>
              <w:rPr>
                <w:sz w:val="18"/>
              </w:rPr>
              <w:t>Crop and primary-plate selection</w:t>
            </w:r>
          </w:p>
        </w:tc>
        <w:tc>
          <w:tcPr>
            <w:tcW w:type="dxa" w:w="6984"/>
          </w:tcPr>
          <w:p>
            <w:pPr>
              <w:spacing w:after="80"/>
            </w:pPr>
            <w:r>
              <w:rPr>
                <w:sz w:val="18"/>
              </w:rPr>
              <w:t>LPRPipeline._select_primary:612–632 and _crop_and_ocr:667–683. process defaults to 20% padding; CCT-XS actually uses 4%, clamped to 3–12 px. Other OCR adapters use the padding parameter with minimum pixel margins.</w:t>
            </w:r>
          </w:p>
        </w:tc>
      </w:tr>
      <w:tr>
        <w:trPr>
          <w:cantSplit/>
        </w:trPr>
        <w:tc>
          <w:tcPr>
            <w:tcW w:type="dxa" w:w="2880"/>
          </w:tcPr>
          <w:p>
            <w:pPr>
              <w:spacing w:after="80"/>
            </w:pPr>
            <w:r>
              <w:rPr>
                <w:sz w:val="18"/>
              </w:rPr>
              <w:t>Tilt and two-line geometry</w:t>
            </w:r>
          </w:p>
        </w:tc>
        <w:tc>
          <w:tcPr>
            <w:tcW w:type="dxa" w:w="6984"/>
          </w:tcPr>
          <w:p>
            <w:pPr>
              <w:spacing w:after="80"/>
            </w:pPr>
            <w:r>
              <w:rPr>
                <w:sz w:val="18"/>
              </w:rPr>
              <w:t>canonical_perspective_unwarp:383–401 and deskew_and_slice_plate:405–499 exist in lpr_engine.py. The CCT-XS adapter:519–523 calls its recognizer directly; the helper is not called on this path. Confirm which geometry processing belongs in the release.</w:t>
            </w:r>
          </w:p>
        </w:tc>
      </w:tr>
      <w:tr>
        <w:trPr>
          <w:cantSplit/>
        </w:trPr>
        <w:tc>
          <w:tcPr>
            <w:tcW w:type="dxa" w:w="2880"/>
          </w:tcPr>
          <w:p>
            <w:pPr>
              <w:spacing w:after="80"/>
            </w:pPr>
            <w:r>
              <w:rPr>
                <w:sz w:val="18"/>
              </w:rPr>
              <w:t>OCR configuration and decoding</w:t>
            </w:r>
          </w:p>
        </w:tc>
        <w:tc>
          <w:tcPr>
            <w:tcW w:type="dxa" w:w="6984"/>
          </w:tcPr>
          <w:p>
            <w:pPr>
              <w:spacing w:after="80"/>
            </w:pPr>
            <w:r>
              <w:rPr>
                <w:sz w:val="18"/>
              </w:rPr>
              <w:t>Models_ocr/cct_xs_plate_config.yaml:4–18 defines slots, alphabet, padding, 64×128 input and RGB mode. CCTXSRecognizerAdapter:507–552 delegates prediction/decoding to fast-plate-ocr and extracts character/region confidence.</w:t>
            </w:r>
          </w:p>
        </w:tc>
      </w:tr>
      <w:tr>
        <w:trPr>
          <w:cantSplit/>
        </w:trPr>
        <w:tc>
          <w:tcPr>
            <w:tcW w:type="dxa" w:w="2880"/>
          </w:tcPr>
          <w:p>
            <w:pPr>
              <w:spacing w:after="80"/>
            </w:pPr>
            <w:r>
              <w:rPr>
                <w:sz w:val="18"/>
              </w:rPr>
              <w:t>Text joining and validation</w:t>
            </w:r>
          </w:p>
        </w:tc>
        <w:tc>
          <w:tcPr>
            <w:tcW w:type="dxa" w:w="6984"/>
          </w:tcPr>
          <w:p>
            <w:pPr>
              <w:spacing w:after="80"/>
            </w:pPr>
            <w:r>
              <w:rPr>
                <w:sz w:val="18"/>
              </w:rPr>
              <w:t>lpr_core/validator.py:14–35 uppercases, strips separators and checks regexes. Joining occurs in LPRPipeline:654–656 and 895–899 and main.py:147–154. No O↔0 correction is implemented in the reviewed validator; please specify the intended rule.</w:t>
            </w:r>
          </w:p>
        </w:tc>
      </w:tr>
      <w:tr>
        <w:trPr>
          <w:cantSplit/>
        </w:trPr>
        <w:tc>
          <w:tcPr>
            <w:tcW w:type="dxa" w:w="2880"/>
          </w:tcPr>
          <w:p>
            <w:pPr>
              <w:spacing w:after="80"/>
            </w:pPr>
            <w:r>
              <w:rPr>
                <w:sz w:val="18"/>
              </w:rPr>
              <w:t>Retry escalation</w:t>
            </w:r>
          </w:p>
        </w:tc>
        <w:tc>
          <w:tcPr>
            <w:tcW w:type="dxa" w:w="6984"/>
          </w:tcPr>
          <w:p>
            <w:pPr>
              <w:spacing w:after="80"/>
            </w:pPr>
            <w:r>
              <w:rPr>
                <w:sz w:val="18"/>
              </w:rPr>
              <w:t>LPRPipeline.process:768–844 runs 640px detection, may enhance the existing crop, then retries detection at 1024px when syntax remains unverified. Escalation depends on scores, syntax and configuration; it is not a single network call.</w:t>
            </w:r>
          </w:p>
        </w:tc>
      </w:tr>
    </w:tbl>
    <w:p>
      <w:pPr>
        <w:pStyle w:val="Caption"/>
      </w:pPr>
      <w:r>
        <w:t>[U1] Ultralytics v8.3.0 source was checked as a concrete dependency reference; the AI repository permits newer versions, so this is not a claim about a pinned installed environment. The ONNX graphs themselves were not inspected for embedded postprocessing.</w:t>
      </w:r>
    </w:p>
    <w:p>
      <w:pPr>
        <w:pStyle w:val="Caption"/>
      </w:pPr>
      <w:hyperlink r:id="rId11">
        <w:r>
          <w:rPr>
            <w:color w:val="245A81"/>
          </w:rPr>
          <w:t>Ultralytics BasePredictor.preprocess / pre_transform (v8.3.0)</w:t>
        </w:r>
      </w:hyperlink>
    </w:p>
    <w:p>
      <w:pPr>
        <w:pStyle w:val="Caption"/>
      </w:pPr>
      <w:hyperlink r:id="rId12">
        <w:r>
          <w:rPr>
            <w:color w:val="245A81"/>
          </w:rPr>
          <w:t>Ultralytics DetectionPredictor.postprocess (v8.3.0)</w:t>
        </w:r>
      </w:hyperlink>
    </w:p>
    <w:p>
      <w:pPr>
        <w:pStyle w:val="Heading1"/>
        <w:pageBreakBefore/>
      </w:pPr>
      <w:r>
        <w:t>Priority summary</w:t>
      </w:r>
    </w:p>
    <w:p>
      <w:r>
        <w:t>Please deliver items 1, 2, 3, 6 and 7 before the backend team starts the real-model integration. Items 4, 5, 8, 9 and 10 can follow; agree owners and delivery dates for them alongside the first release.</w:t>
      </w:r>
    </w:p>
    <w:tbl>
      <w:tblPr>
        <w:tblStyle w:val="LightShading-Accent1"/>
        <w:tblW w:type="auto" w:w="0"/>
        <w:jc w:val="center"/>
        <w:tblLook w:firstColumn="1" w:firstRow="1" w:lastColumn="0" w:lastRow="0" w:noHBand="0" w:noVBand="1" w:val="04A0"/>
      </w:tblPr>
      <w:tblGrid>
        <w:gridCol w:w="3317"/>
        <w:gridCol w:w="3317"/>
        <w:gridCol w:w="3317"/>
      </w:tblGrid>
      <w:tr>
        <w:trPr>
          <w:tblHeader/>
          <w:cantSplit/>
        </w:trPr>
        <w:tc>
          <w:tcPr>
            <w:tcW w:type="dxa" w:w="504"/>
          </w:tcPr>
          <w:p>
            <w:pPr>
              <w:spacing w:after="80"/>
            </w:pPr>
            <w:r>
              <w:rPr>
                <w:sz w:val="18"/>
              </w:rPr>
              <w:t>No.</w:t>
            </w:r>
          </w:p>
        </w:tc>
        <w:tc>
          <w:tcPr>
            <w:tcW w:type="dxa" w:w="6840"/>
          </w:tcPr>
          <w:p>
            <w:pPr>
              <w:spacing w:after="80"/>
            </w:pPr>
            <w:r>
              <w:rPr>
                <w:sz w:val="18"/>
              </w:rPr>
              <w:t>Deliverable</w:t>
            </w:r>
          </w:p>
        </w:tc>
        <w:tc>
          <w:tcPr>
            <w:tcW w:type="dxa" w:w="2520"/>
          </w:tcPr>
          <w:p>
            <w:pPr>
              <w:spacing w:after="80"/>
            </w:pPr>
            <w:r>
              <w:rPr>
                <w:sz w:val="18"/>
              </w:rPr>
              <w:t>Priority</w:t>
            </w:r>
          </w:p>
        </w:tc>
      </w:tr>
      <w:tr>
        <w:trPr>
          <w:cantSplit/>
        </w:trPr>
        <w:tc>
          <w:tcPr>
            <w:tcW w:type="dxa" w:w="504"/>
          </w:tcPr>
          <w:p>
            <w:pPr>
              <w:spacing w:after="80"/>
            </w:pPr>
            <w:r>
              <w:rPr>
                <w:sz w:val="18"/>
              </w:rPr>
              <w:t>1</w:t>
            </w:r>
          </w:p>
        </w:tc>
        <w:tc>
          <w:tcPr>
            <w:tcW w:type="dxa" w:w="6840"/>
          </w:tcPr>
          <w:p>
            <w:pPr>
              <w:spacing w:after="80"/>
            </w:pPr>
            <w:r>
              <w:rPr>
                <w:sz w:val="18"/>
              </w:rPr>
              <w:t>Importable package and in-memory API</w:t>
            </w:r>
          </w:p>
        </w:tc>
        <w:tc>
          <w:tcPr>
            <w:tcW w:type="dxa" w:w="2520"/>
          </w:tcPr>
          <w:p>
            <w:pPr>
              <w:spacing w:after="80"/>
            </w:pPr>
            <w:r>
              <w:rPr>
                <w:sz w:val="18"/>
              </w:rPr>
              <w:t>BLOCKS integration</w:t>
            </w:r>
          </w:p>
        </w:tc>
      </w:tr>
      <w:tr>
        <w:trPr>
          <w:cantSplit/>
        </w:trPr>
        <w:tc>
          <w:tcPr>
            <w:tcW w:type="dxa" w:w="504"/>
          </w:tcPr>
          <w:p>
            <w:pPr>
              <w:spacing w:after="80"/>
            </w:pPr>
            <w:r>
              <w:rPr>
                <w:sz w:val="18"/>
              </w:rPr>
              <w:t>2</w:t>
            </w:r>
          </w:p>
        </w:tc>
        <w:tc>
          <w:tcPr>
            <w:tcW w:type="dxa" w:w="6840"/>
          </w:tcPr>
          <w:p>
            <w:pPr>
              <w:spacing w:after="80"/>
            </w:pPr>
            <w:r>
              <w:rPr>
                <w:sz w:val="18"/>
              </w:rPr>
              <w:t>Separate detect and read_plate APIs</w:t>
            </w:r>
          </w:p>
        </w:tc>
        <w:tc>
          <w:tcPr>
            <w:tcW w:type="dxa" w:w="2520"/>
          </w:tcPr>
          <w:p>
            <w:pPr>
              <w:spacing w:after="80"/>
            </w:pPr>
            <w:r>
              <w:rPr>
                <w:sz w:val="18"/>
              </w:rPr>
              <w:t>BLOCKS integration</w:t>
            </w:r>
          </w:p>
        </w:tc>
      </w:tr>
      <w:tr>
        <w:trPr>
          <w:cantSplit/>
        </w:trPr>
        <w:tc>
          <w:tcPr>
            <w:tcW w:type="dxa" w:w="504"/>
          </w:tcPr>
          <w:p>
            <w:pPr>
              <w:spacing w:after="80"/>
            </w:pPr>
            <w:r>
              <w:rPr>
                <w:sz w:val="18"/>
              </w:rPr>
              <w:t>3</w:t>
            </w:r>
          </w:p>
        </w:tc>
        <w:tc>
          <w:tcPr>
            <w:tcW w:type="dxa" w:w="6840"/>
          </w:tcPr>
          <w:p>
            <w:pPr>
              <w:spacing w:after="80"/>
            </w:pPr>
            <w:r>
              <w:rPr>
                <w:sz w:val="18"/>
              </w:rPr>
              <w:t>Structured candidate results; recognition-only scope</w:t>
            </w:r>
          </w:p>
        </w:tc>
        <w:tc>
          <w:tcPr>
            <w:tcW w:type="dxa" w:w="2520"/>
          </w:tcPr>
          <w:p>
            <w:pPr>
              <w:spacing w:after="80"/>
            </w:pPr>
            <w:r>
              <w:rPr>
                <w:sz w:val="18"/>
              </w:rPr>
              <w:t>BLOCKS integration</w:t>
            </w:r>
          </w:p>
        </w:tc>
      </w:tr>
      <w:tr>
        <w:trPr>
          <w:cantSplit/>
        </w:trPr>
        <w:tc>
          <w:tcPr>
            <w:tcW w:type="dxa" w:w="504"/>
          </w:tcPr>
          <w:p>
            <w:pPr>
              <w:spacing w:after="80"/>
            </w:pPr>
            <w:r>
              <w:rPr>
                <w:sz w:val="18"/>
              </w:rPr>
              <w:t>4</w:t>
            </w:r>
          </w:p>
        </w:tc>
        <w:tc>
          <w:tcPr>
            <w:tcW w:type="dxa" w:w="6840"/>
          </w:tcPr>
          <w:p>
            <w:pPr>
              <w:spacing w:after="80"/>
            </w:pPr>
            <w:r>
              <w:rPr>
                <w:sz w:val="18"/>
              </w:rPr>
              <w:t>Canonical normalisation rules</w:t>
            </w:r>
          </w:p>
        </w:tc>
        <w:tc>
          <w:tcPr>
            <w:tcW w:type="dxa" w:w="2520"/>
          </w:tcPr>
          <w:p>
            <w:pPr>
              <w:spacing w:after="80"/>
            </w:pPr>
            <w:r>
              <w:rPr>
                <w:sz w:val="18"/>
              </w:rPr>
              <w:t>Can follow</w:t>
            </w:r>
          </w:p>
        </w:tc>
      </w:tr>
      <w:tr>
        <w:trPr>
          <w:cantSplit/>
        </w:trPr>
        <w:tc>
          <w:tcPr>
            <w:tcW w:type="dxa" w:w="504"/>
          </w:tcPr>
          <w:p>
            <w:pPr>
              <w:spacing w:after="80"/>
            </w:pPr>
            <w:r>
              <w:rPr>
                <w:sz w:val="18"/>
              </w:rPr>
              <w:t>5</w:t>
            </w:r>
          </w:p>
        </w:tc>
        <w:tc>
          <w:tcPr>
            <w:tcW w:type="dxa" w:w="6840"/>
          </w:tcPr>
          <w:p>
            <w:pPr>
              <w:spacing w:after="80"/>
            </w:pPr>
            <w:r>
              <w:rPr>
                <w:sz w:val="18"/>
              </w:rPr>
              <w:t>Configurable thresholds and recommendations</w:t>
            </w:r>
          </w:p>
        </w:tc>
        <w:tc>
          <w:tcPr>
            <w:tcW w:type="dxa" w:w="2520"/>
          </w:tcPr>
          <w:p>
            <w:pPr>
              <w:spacing w:after="80"/>
            </w:pPr>
            <w:r>
              <w:rPr>
                <w:sz w:val="18"/>
              </w:rPr>
              <w:t>Can follow</w:t>
            </w:r>
          </w:p>
        </w:tc>
      </w:tr>
      <w:tr>
        <w:trPr>
          <w:cantSplit/>
        </w:trPr>
        <w:tc>
          <w:tcPr>
            <w:tcW w:type="dxa" w:w="504"/>
          </w:tcPr>
          <w:p>
            <w:pPr>
              <w:spacing w:after="80"/>
            </w:pPr>
            <w:r>
              <w:rPr>
                <w:sz w:val="18"/>
              </w:rPr>
              <w:t>6</w:t>
            </w:r>
          </w:p>
        </w:tc>
        <w:tc>
          <w:tcPr>
            <w:tcW w:type="dxa" w:w="6840"/>
          </w:tcPr>
          <w:p>
            <w:pPr>
              <w:spacing w:after="80"/>
            </w:pPr>
            <w:r>
              <w:rPr>
                <w:sz w:val="18"/>
              </w:rPr>
              <w:t>Direct ONNX Runtime, pinned dependencies, warm-up and concurrency contract</w:t>
            </w:r>
          </w:p>
        </w:tc>
        <w:tc>
          <w:tcPr>
            <w:tcW w:type="dxa" w:w="2520"/>
          </w:tcPr>
          <w:p>
            <w:pPr>
              <w:spacing w:after="80"/>
            </w:pPr>
            <w:r>
              <w:rPr>
                <w:sz w:val="18"/>
              </w:rPr>
              <w:t>BLOCKS integration</w:t>
            </w:r>
          </w:p>
        </w:tc>
      </w:tr>
      <w:tr>
        <w:trPr>
          <w:cantSplit/>
        </w:trPr>
        <w:tc>
          <w:tcPr>
            <w:tcW w:type="dxa" w:w="504"/>
          </w:tcPr>
          <w:p>
            <w:pPr>
              <w:spacing w:after="80"/>
            </w:pPr>
            <w:r>
              <w:rPr>
                <w:sz w:val="18"/>
              </w:rPr>
              <w:t>7</w:t>
            </w:r>
          </w:p>
        </w:tc>
        <w:tc>
          <w:tcPr>
            <w:tcW w:type="dxa" w:w="6840"/>
          </w:tcPr>
          <w:p>
            <w:pPr>
              <w:spacing w:after="80"/>
            </w:pPr>
            <w:r>
              <w:rPr>
                <w:sz w:val="18"/>
              </w:rPr>
              <w:t>Versioned, checksum-protected model release and model card</w:t>
            </w:r>
          </w:p>
        </w:tc>
        <w:tc>
          <w:tcPr>
            <w:tcW w:type="dxa" w:w="2520"/>
          </w:tcPr>
          <w:p>
            <w:pPr>
              <w:spacing w:after="80"/>
            </w:pPr>
            <w:r>
              <w:rPr>
                <w:sz w:val="18"/>
              </w:rPr>
              <w:t>BLOCKS integration</w:t>
            </w:r>
          </w:p>
        </w:tc>
      </w:tr>
      <w:tr>
        <w:trPr>
          <w:cantSplit/>
        </w:trPr>
        <w:tc>
          <w:tcPr>
            <w:tcW w:type="dxa" w:w="504"/>
          </w:tcPr>
          <w:p>
            <w:pPr>
              <w:spacing w:after="80"/>
            </w:pPr>
            <w:r>
              <w:rPr>
                <w:sz w:val="18"/>
              </w:rPr>
              <w:t>8</w:t>
            </w:r>
          </w:p>
        </w:tc>
        <w:tc>
          <w:tcPr>
            <w:tcW w:type="dxa" w:w="6840"/>
          </w:tcPr>
          <w:p>
            <w:pPr>
              <w:spacing w:after="80"/>
            </w:pPr>
            <w:r>
              <w:rPr>
                <w:sz w:val="18"/>
              </w:rPr>
              <w:t>Linux CPU latency benchmark</w:t>
            </w:r>
          </w:p>
        </w:tc>
        <w:tc>
          <w:tcPr>
            <w:tcW w:type="dxa" w:w="2520"/>
          </w:tcPr>
          <w:p>
            <w:pPr>
              <w:spacing w:after="80"/>
            </w:pPr>
            <w:r>
              <w:rPr>
                <w:sz w:val="18"/>
              </w:rPr>
              <w:t>Can follow</w:t>
            </w:r>
          </w:p>
        </w:tc>
      </w:tr>
      <w:tr>
        <w:trPr>
          <w:cantSplit/>
        </w:trPr>
        <w:tc>
          <w:tcPr>
            <w:tcW w:type="dxa" w:w="504"/>
          </w:tcPr>
          <w:p>
            <w:pPr>
              <w:spacing w:after="80"/>
            </w:pPr>
            <w:r>
              <w:rPr>
                <w:sz w:val="18"/>
              </w:rPr>
              <w:t>9</w:t>
            </w:r>
          </w:p>
        </w:tc>
        <w:tc>
          <w:tcPr>
            <w:tcW w:type="dxa" w:w="6840"/>
          </w:tcPr>
          <w:p>
            <w:pPr>
              <w:spacing w:after="80"/>
            </w:pPr>
            <w:r>
              <w:rPr>
                <w:sz w:val="18"/>
              </w:rPr>
              <w:t>Golden images, expected JSON and storage permission</w:t>
            </w:r>
          </w:p>
        </w:tc>
        <w:tc>
          <w:tcPr>
            <w:tcW w:type="dxa" w:w="2520"/>
          </w:tcPr>
          <w:p>
            <w:pPr>
              <w:spacing w:after="80"/>
            </w:pPr>
            <w:r>
              <w:rPr>
                <w:sz w:val="18"/>
              </w:rPr>
              <w:t>Can follow</w:t>
            </w:r>
          </w:p>
        </w:tc>
      </w:tr>
      <w:tr>
        <w:trPr>
          <w:cantSplit/>
        </w:trPr>
        <w:tc>
          <w:tcPr>
            <w:tcW w:type="dxa" w:w="504"/>
          </w:tcPr>
          <w:p>
            <w:pPr>
              <w:spacing w:after="80"/>
            </w:pPr>
            <w:r>
              <w:rPr>
                <w:sz w:val="18"/>
              </w:rPr>
              <w:t>10</w:t>
            </w:r>
          </w:p>
        </w:tc>
        <w:tc>
          <w:tcPr>
            <w:tcW w:type="dxa" w:w="6840"/>
          </w:tcPr>
          <w:p>
            <w:pPr>
              <w:spacing w:after="80"/>
            </w:pPr>
            <w:r>
              <w:rPr>
                <w:sz w:val="18"/>
              </w:rPr>
              <w:t>Repository, dataset and pretrained-weight licensing confirmation</w:t>
            </w:r>
          </w:p>
        </w:tc>
        <w:tc>
          <w:tcPr>
            <w:tcW w:type="dxa" w:w="2520"/>
          </w:tcPr>
          <w:p>
            <w:pPr>
              <w:spacing w:after="80"/>
            </w:pPr>
            <w:r>
              <w:rPr>
                <w:sz w:val="18"/>
              </w:rPr>
              <w:t>Can follow</w:t>
            </w:r>
          </w:p>
        </w:tc>
      </w:tr>
    </w:tbl>
    <w:p>
      <w:pPr>
        <w:pStyle w:val="Heading1"/>
      </w:pPr>
      <w:r>
        <w:t>How to read the evidence</w:t>
      </w:r>
    </w:p>
    <w:p>
      <w:r>
        <w:t>AI references link to the public repository at commit 6d6aaa3c51516d7d5f58551159d02139d6ed75ae. File names, function names and line ranges refer to that snapshot. Code blocks are short verbatim excerpts, not proposed implementations.</w:t>
      </w:r>
    </w:p>
    <w:p>
      <w:r>
        <w:t>Edge references are paths relative to CerberusEdge, reviewed locally at commit c869eb02588f8a3df8f56f0a62f360bc5cdd18df. The RGB input convention and the automatic-entry workflow are integration requirements; the Frame type itself specifies uint8 pixels but does not encode channel order or array shape.</w:t>
      </w:r>
    </w:p>
    <w:p>
      <w:r>
        <w:t>The AI guide is the supplied “Smart Parking - Simple document on running model.pdf”. Page references below are physical PDF pages. Timing values embedded in screenshots were visually checked; they are reported examples, not measurements made by the backend team.</w:t>
      </w:r>
    </w:p>
    <w:p>
      <w:pPr>
        <w:pStyle w:val="Heading1"/>
      </w:pPr>
      <w:r>
        <w:t>Delivery boundary</w:t>
      </w:r>
    </w:p>
    <w:p>
      <w:r>
        <w:t>The first release should contain the Python distribution, one selected detector, one selected OCR model, matching OCR configuration, a version/checksum manifest and a minimal example that accepts an ndarray. Keep the CLI, demo server and training utilities separate from the runtime library. Items marked “Can follow” remain requested deliverables.</w:t>
      </w:r>
    </w:p>
    <w:p>
      <w:pPr>
        <w:pStyle w:val="Heading1"/>
        <w:pageBreakBefore/>
      </w:pPr>
      <w:r>
        <w:t>1. Importable package with an in-memory API</w:t>
      </w:r>
    </w:p>
    <w:p>
      <w:pPr>
        <w:pStyle w:val="Subtitle"/>
      </w:pPr>
      <w:r>
        <w:t>BLOCKS INTEGRATION</w:t>
      </w:r>
    </w:p>
    <w:p>
      <w:pPr>
        <w:pStyle w:val="Heading2"/>
      </w:pPr>
      <w:r>
        <w:t>What we need</w:t>
      </w:r>
    </w:p>
    <w:p>
      <w:r>
        <w:t>Provide recognize(image: np.ndarray) for RGB uint8 [H, W, 3], documented explicitly against OpenCV’s BGR convention. Make the package installable through pyproject.toml on Python 3.12/Linux. Accept detector/OCR/config paths and runtime settings through constructor arguments; resolve no model path against the caller’s working directory.</w:t>
      </w:r>
    </w:p>
    <w:p>
      <w:pPr>
        <w:pStyle w:val="Heading2"/>
      </w:pPr>
      <w:r>
        <w:t>Why</w:t>
      </w:r>
    </w:p>
    <w:p>
      <w:r>
        <w:t>Edge already owns frame acquisition and storage. Per-frame path reads, output images and console output add side effects to a persistent worker. Licence plates are personal data, and our project rules forbid logging plate text.</w:t>
      </w:r>
    </w:p>
    <w:p>
      <w:r>
        <w:t>Recognition calls must perform no filesystem I/O: no cv2.imread(path), directory creation or writes to Outputs/. Load local model assets at construction; return optional debug images in memory only when explicitly requested. Imports must not create directories. Do not print or log plate text, including through dependency logs or object representations.</w:t>
      </w:r>
    </w:p>
    <w:p>
      <w:pPr>
        <w:pStyle w:val="Heading2"/>
      </w:pPr>
      <w:r>
        <w:t>Evidence</w:t>
      </w:r>
    </w:p>
    <w:p>
      <w:hyperlink r:id="rId13">
        <w:r>
          <w:rPr>
            <w:color w:val="245A81"/>
          </w:rPr>
          <w:t>AI: lpr_engine.py:21–28 — import-time directory creation</w:t>
        </w:r>
      </w:hyperlink>
    </w:p>
    <w:p>
      <w:hyperlink r:id="rId14">
        <w:r>
          <w:rPr>
            <w:color w:val="245A81"/>
          </w:rPr>
          <w:t>AI: lpr_engine.py:92–96 — YOLODetector.detect</w:t>
        </w:r>
      </w:hyperlink>
    </w:p>
    <w:p>
      <w:hyperlink r:id="rId15">
        <w:r>
          <w:rPr>
            <w:color w:val="245A81"/>
          </w:rPr>
          <w:t>AI: lpr_engine.py:736–764 — LPRPipeline.process</w:t>
        </w:r>
      </w:hyperlink>
    </w:p>
    <w:p>
      <w:hyperlink r:id="rId16">
        <w:r>
          <w:rPr>
            <w:color w:val="245A81"/>
          </w:rPr>
          <w:t>AI: lpr_engine.py:1010–1011 — unconditional annotated write</w:t>
        </w:r>
      </w:hyperlink>
    </w:p>
    <w:p>
      <w:hyperlink r:id="rId17">
        <w:r>
          <w:rPr>
            <w:color w:val="245A81"/>
          </w:rPr>
          <w:t>AI: main.py:196–196 — plate text printed</w:t>
        </w:r>
      </w:hyperlink>
    </w:p>
    <w:p>
      <w:r>
        <w:t>Edge: src/cerberus_edge/worker/pipeline/model.py:46–51 — Frame</w:t>
      </w:r>
    </w:p>
    <w:p>
      <w:r>
        <w:t>Edge: pyproject.toml:1–4 — Python 3.12 requirement</w:t>
      </w:r>
    </w:p>
    <w:p>
      <w:pPr>
        <w:pStyle w:val="Heading2"/>
      </w:pPr>
      <w:r>
        <w:t>Code evidence</w:t>
      </w:r>
    </w:p>
    <w:p>
      <w:pPr>
        <w:pStyle w:val="Caption"/>
      </w:pPr>
      <w:r>
        <w:t>AI: lpr_engine.py:92–96</w:t>
      </w:r>
    </w:p>
    <w:p>
      <w:pPr>
        <w:pStyle w:val="CodeEvidence"/>
        <w:shd w:fill="F1F4F8"/>
      </w:pPr>
      <w:r>
        <w:t xml:space="preserve">    def detect(self, image_path: str, imgsz: int = 640):</w:t>
        <w:br/>
        <w:t xml:space="preserve">        if not os.path.exists(image_path):</w:t>
        <w:br/>
        <w:t xml:space="preserve">            raise FileNotFoundError(f"Detection image path not found: {image_path}")</w:t>
        <w:br/>
        <w:t xml:space="preserve">            </w:t>
        <w:br/>
        <w:t xml:space="preserve">        results = self.model(image_path, conf=self.confidence_threshold, imgsz=imgsz, verbose=False)</w:t>
      </w:r>
    </w:p>
    <w:p>
      <w:pPr>
        <w:pStyle w:val="Caption"/>
      </w:pPr>
      <w:r>
        <w:t>AI: lpr_engine.py:764–766</w:t>
      </w:r>
    </w:p>
    <w:p>
      <w:pPr>
        <w:pStyle w:val="CodeEvidence"/>
        <w:shd w:fill="F1F4F8"/>
      </w:pPr>
      <w:r>
        <w:t xml:space="preserve">        img = cv2.imread(image_path)</w:t>
        <w:br/>
        <w:t xml:space="preserve">        if img is None:</w:t>
        <w:br/>
        <w:t xml:space="preserve">            raise FileNotFoundError(f"Failed to read image at path: {image_path}")</w:t>
      </w:r>
    </w:p>
    <w:p>
      <w:pPr>
        <w:pStyle w:val="Caption"/>
      </w:pPr>
      <w:r>
        <w:t>AI: main.py:196–196</w:t>
      </w:r>
    </w:p>
    <w:p>
      <w:pPr>
        <w:pStyle w:val="CodeEvidence"/>
        <w:shd w:fill="F1F4F8"/>
      </w:pPr>
      <w:r>
        <w:t xml:space="preserve">                print(f"ACCESS GRANTED: Event {event_id} verified ({match_res['match_type']}) for vehicle {ocr_text}.")</w:t>
      </w:r>
    </w:p>
    <w:p>
      <w:pPr>
        <w:pStyle w:val="Caption"/>
      </w:pPr>
      <w:r>
        <w:t>Edge: src/cerberus_edge/worker/pipeline/model.py:46–51</w:t>
      </w:r>
    </w:p>
    <w:p>
      <w:pPr>
        <w:pStyle w:val="CodeEvidence"/>
        <w:shd w:fill="F1F4F8"/>
      </w:pPr>
      <w:r>
        <w:t>@dataclass(frozen=True)</w:t>
        <w:br/>
        <w:t>class Frame:</w:t>
        <w:br/>
        <w:t xml:space="preserve">    frame_id: str</w:t>
        <w:br/>
        <w:t xml:space="preserve">    camera_id: str</w:t>
        <w:br/>
        <w:t xml:space="preserve">    captured_at: datetime</w:t>
        <w:br/>
        <w:t xml:space="preserve">    pixels: NDArray[np.uint8] = field(repr=False, compare=False)</w:t>
      </w:r>
    </w:p>
    <w:p>
      <w:pPr>
        <w:pStyle w:val="Heading2"/>
      </w:pPr>
      <w:r>
        <w:t>Done when</w:t>
      </w:r>
    </w:p>
    <w:p>
      <w:r>
        <w:t>A wheel installs in a clean Python 3.12/Linux environment and works from an unrelated directory using explicit asset paths. Repeated calls accept in-memory RGB frames, preserve the caller’s pixels, create/read no per-frame files, emit no plate text and return debug arrays only on request. Invalid dtype/shape is rejected with a documented error.</w:t>
      </w:r>
    </w:p>
    <w:p>
      <w:pPr>
        <w:pStyle w:val="Heading1"/>
        <w:pageBreakBefore/>
      </w:pPr>
      <w:r>
        <w:t>2. Separate detection from plate reading</w:t>
      </w:r>
    </w:p>
    <w:p>
      <w:pPr>
        <w:pStyle w:val="Subtitle"/>
      </w:pPr>
      <w:r>
        <w:t>BLOCKS INTEGRATION</w:t>
      </w:r>
    </w:p>
    <w:p>
      <w:pPr>
        <w:pStyle w:val="Heading2"/>
      </w:pPr>
      <w:r>
        <w:t>What we need</w:t>
      </w:r>
    </w:p>
    <w:p>
      <w:r>
        <w:t>Expose detect(image) → boxes with detector scores and read_plate(image, box) → text plus confidence details, in addition to recognize(image). Use the same RGB contract and original-image coordinates across all three APIs. The plate-reading API must include your own crop, enhancement, geometry handling, OCR and normalisation.</w:t>
      </w:r>
    </w:p>
    <w:p>
      <w:pPr>
        <w:pStyle w:val="Heading2"/>
      </w:pPr>
      <w:r>
        <w:t>Why</w:t>
      </w:r>
    </w:p>
    <w:p>
      <w:r>
        <w:t>Our automatic-entry mode needs frequent detection and OCR only after a plate becomes stable. Edge owns the stability check and temporal voting; a full-pipeline-only API would repeat OCR unnecessarily.</w:t>
      </w:r>
    </w:p>
    <w:p>
      <w:pPr>
        <w:pStyle w:val="Heading2"/>
      </w:pPr>
      <w:r>
        <w:t>Evidence</w:t>
      </w:r>
    </w:p>
    <w:p>
      <w:hyperlink r:id="rId18">
        <w:r>
          <w:rPr>
            <w:color w:val="245A81"/>
          </w:rPr>
          <w:t>AI: lpr_engine.py:92–115 — YOLODetector.detect is separate but path-based</w:t>
        </w:r>
      </w:hyperlink>
    </w:p>
    <w:p>
      <w:hyperlink r:id="rId19">
        <w:r>
          <w:rPr>
            <w:color w:val="245A81"/>
          </w:rPr>
          <w:t>AI: lpr_engine.py:659–732 — _crop_and_ocr is private and aggregates OCR results</w:t>
        </w:r>
      </w:hyperlink>
    </w:p>
    <w:p>
      <w:hyperlink r:id="rId20">
        <w:r>
          <w:rPr>
            <w:color w:val="245A81"/>
          </w:rPr>
          <w:t>AI: lpr_engine.py:773–779 — process couples detection and OCR</w:t>
        </w:r>
      </w:hyperlink>
    </w:p>
    <w:p>
      <w:r>
        <w:t>Edge: src/cerberus_edge/worker/pipeline/ports.py:24–26 — Recognizer.infer returns InferenceResult</w:t>
      </w:r>
    </w:p>
    <w:p>
      <w:r>
        <w:t>Edge: src/cerberus_edge/worker/pipeline/model.py:78–88 — InferenceResult contains FrameRecognition objects</w:t>
      </w:r>
    </w:p>
    <w:p>
      <w:pPr>
        <w:pStyle w:val="Heading2"/>
      </w:pPr>
      <w:r>
        <w:t>Code evidence</w:t>
      </w:r>
    </w:p>
    <w:p>
      <w:pPr>
        <w:pStyle w:val="Caption"/>
      </w:pPr>
      <w:r>
        <w:t>AI: lpr_engine.py:773–779</w:t>
      </w:r>
    </w:p>
    <w:p>
      <w:pPr>
        <w:pStyle w:val="CodeEvidence"/>
        <w:shd w:fill="F1F4F8"/>
      </w:pPr>
      <w:r>
        <w:t xml:space="preserve">        detections = self.detector.detect(image_path, imgsz=640)</w:t>
        <w:br/>
        <w:t xml:space="preserve">        detections = self._select_primary(detections, sort_by, primary_only)</w:t>
        <w:br/>
        <w:t xml:space="preserve">        det_latency_ms = (time.time() - det_start) * 1000</w:t>
        <w:br/>
        <w:t xml:space="preserve">        print(f"  [1st try - 640px] Found {len(detections)} detection(s) in {det_latency_ms:.1f}ms")</w:t>
        <w:br/>
        <w:t xml:space="preserve">        </w:t>
        <w:br/>
        <w:t xml:space="preserve">        ocr_start = time.time()</w:t>
        <w:br/>
        <w:t xml:space="preserve">        ocr_results, was_enhanced = self._crop_and_ocr(img, detections, crop_identifier, padding_percent, apply_enhancement=False, target_dir=target_dir, model_tag=model_stem, save_crop=save_crops)</w:t>
      </w:r>
    </w:p>
    <w:p>
      <w:pPr>
        <w:pStyle w:val="Caption"/>
      </w:pPr>
      <w:r>
        <w:t>Edge: src/cerberus_edge/worker/pipeline/ports.py:24–26</w:t>
      </w:r>
    </w:p>
    <w:p>
      <w:pPr>
        <w:pStyle w:val="CodeEvidence"/>
        <w:shd w:fill="F1F4F8"/>
      </w:pPr>
      <w:r>
        <w:t>class Recognizer(Protocol):</w:t>
        <w:br/>
        <w:t xml:space="preserve">    def infer(self, batch: FrameBatch) -&gt; InferenceResult: ...</w:t>
        <w:br/>
        <w:t xml:space="preserve">    async def close(self) -&gt; None: ...</w:t>
      </w:r>
    </w:p>
    <w:p>
      <w:pPr>
        <w:pStyle w:val="Heading2"/>
      </w:pPr>
      <w:r>
        <w:t>Done when</w:t>
      </w:r>
    </w:p>
    <w:p>
      <w:r>
        <w:t>A runnable example detects across several frames, then reads only a selected stable box without rerunning detection. Scores and coordinates follow the full-pipeline contract; read_plate and recognize share the same processing implementation. Document which retries read_plate can perform without detecting again, and leave scheduling/voting to Edge.</w:t>
      </w:r>
    </w:p>
    <w:p>
      <w:pPr>
        <w:pStyle w:val="Heading1"/>
        <w:pageBreakBefore/>
      </w:pPr>
      <w:r>
        <w:t>3. Structured results with recognition-only scope</w:t>
      </w:r>
    </w:p>
    <w:p>
      <w:pPr>
        <w:pStyle w:val="Subtitle"/>
      </w:pPr>
      <w:r>
        <w:t>BLOCKS INTEGRATION</w:t>
      </w:r>
    </w:p>
    <w:p>
      <w:pPr>
        <w:pStyle w:val="Heading2"/>
      </w:pPr>
      <w:r>
        <w:t>What we need</w:t>
      </w:r>
    </w:p>
    <w:p>
      <w:r>
        <w:t>Return one structured record per candidate: bbox (x_min, y_min, x_max, y_max) in input-image pixels; detection confidence; raw OCR text; normalised text; Vietnamese syntax-valid flag; mean/minimum character confidence; per-character confidence; region (and its score when available); and the pass that produced the result (base 640, enhanced crop or 1024 retry). Return an empty candidate list for “no plate”; distinguish runtime errors from an empty result.</w:t>
      </w:r>
    </w:p>
    <w:p>
      <w:pPr>
        <w:pStyle w:val="Heading2"/>
      </w:pPr>
      <w:r>
        <w:t>Why</w:t>
      </w:r>
    </w:p>
    <w:p>
      <w:r>
        <w:t>Edge needs to associate each text with its own box for filtering and voting. Its current Candidate already has raw/normalised text, detection/OCR scores and a bbox. Gate decisions, RFID handling, registered-vehicle lookup and fuzzy identity matching belong to Edge/Central.</w:t>
      </w:r>
    </w:p>
    <w:p>
      <w:r>
        <w:t>Remove REGISTERED_VEHICLES and access-decision behavior from the installable runtime. Retain raw evidence when syntax is invalid. Define score ranges, missing-score values, character alignment after normalisation, box bounds and coordinate conventions; avoid a flattened list that loses the candidate-to-text relationship.</w:t>
      </w:r>
    </w:p>
    <w:p>
      <w:pPr>
        <w:pStyle w:val="Heading2"/>
      </w:pPr>
      <w:r>
        <w:t>Evidence</w:t>
      </w:r>
    </w:p>
    <w:p>
      <w:hyperlink r:id="rId21">
        <w:r>
          <w:rPr>
            <w:color w:val="245A81"/>
          </w:rPr>
          <w:t>AI: lpr_engine.py:546–552 — CCTXSRecognizerAdapter confidence fields</w:t>
        </w:r>
      </w:hyperlink>
    </w:p>
    <w:p>
      <w:hyperlink r:id="rId22">
        <w:r>
          <w:rPr>
            <w:color w:val="245A81"/>
          </w:rPr>
          <w:t>AI: lpr_engine.py:726–732 — OCR results appended across detections</w:t>
        </w:r>
      </w:hyperlink>
    </w:p>
    <w:p>
      <w:hyperlink r:id="rId23">
        <w:r>
          <w:rPr>
            <w:color w:val="245A81"/>
          </w:rPr>
          <w:t>AI: main.py:36–45 — REGISTERED_VEHICLES</w:t>
        </w:r>
      </w:hyperlink>
    </w:p>
    <w:p>
      <w:hyperlink r:id="rId24">
        <w:r>
          <w:rPr>
            <w:color w:val="245A81"/>
          </w:rPr>
          <w:t>AI: main.py:188–211 — registered-plate matching and gate decisions</w:t>
        </w:r>
      </w:hyperlink>
    </w:p>
    <w:p>
      <w:r>
        <w:t>Edge: src/cerberus_edge/worker/pipeline/model.py:69–88 — Candidate and batch result types</w:t>
      </w:r>
    </w:p>
    <w:p>
      <w:pPr>
        <w:pStyle w:val="Heading2"/>
      </w:pPr>
      <w:r>
        <w:t>Code evidence</w:t>
      </w:r>
    </w:p>
    <w:p>
      <w:pPr>
        <w:pStyle w:val="Caption"/>
      </w:pPr>
      <w:r>
        <w:t>AI: lpr_engine.py:546–552</w:t>
      </w:r>
    </w:p>
    <w:p>
      <w:pPr>
        <w:pStyle w:val="CodeEvidence"/>
        <w:shd w:fill="F1F4F8"/>
      </w:pPr>
      <w:r>
        <w:t xml:space="preserve">        return [{</w:t>
        <w:br/>
        <w:t xml:space="preserve">            'text': plate_text,</w:t>
        <w:br/>
        <w:t xml:space="preserve">            'confidence': round(mean_conf, 4),</w:t>
        <w:br/>
        <w:t xml:space="preserve">            'min_confidence': round(min_conf, 4),</w:t>
        <w:br/>
        <w:t xml:space="preserve">            'character_details': char_details,</w:t>
        <w:br/>
        <w:t xml:space="preserve">            'region': region,</w:t>
        <w:br/>
        <w:t xml:space="preserve">            'region_prob': round(region_prob, 4)</w:t>
      </w:r>
    </w:p>
    <w:p>
      <w:pPr>
        <w:pStyle w:val="Caption"/>
      </w:pPr>
      <w:r>
        <w:t>AI: main.py:188–191</w:t>
      </w:r>
    </w:p>
    <w:p>
      <w:pPr>
        <w:pStyle w:val="CodeEvidence"/>
        <w:shd w:fill="F1F4F8"/>
      </w:pPr>
      <w:r>
        <w:t xml:space="preserve">        if registered_plate and ocr_text != "NONE_RECOGNIZED":</w:t>
        <w:br/>
        <w:t xml:space="preserve">            match_res = VietnamPlateValidator.match_plate(ocr_text, registered_plate, max_distance=1)</w:t>
        <w:br/>
        <w:t xml:space="preserve">            if match_res['match']:</w:t>
        <w:br/>
        <w:t xml:space="preserve">                gate_status = "GATE_OPEN"</w:t>
      </w:r>
    </w:p>
    <w:p>
      <w:pPr>
        <w:pStyle w:val="Caption"/>
      </w:pPr>
      <w:r>
        <w:t>Edge: src/cerberus_edge/worker/pipeline/model.py:69–75</w:t>
      </w:r>
    </w:p>
    <w:p>
      <w:pPr>
        <w:pStyle w:val="CodeEvidence"/>
        <w:shd w:fill="F1F4F8"/>
      </w:pPr>
      <w:r>
        <w:t>@dataclass(frozen=True)</w:t>
        <w:br/>
        <w:t>class Candidate:</w:t>
        <w:br/>
        <w:t xml:space="preserve">    text: str = field(repr=False)</w:t>
        <w:br/>
        <w:t xml:space="preserve">    normalized_text: str = field(repr=False)</w:t>
        <w:br/>
        <w:t xml:space="preserve">    detection_score: float</w:t>
        <w:br/>
        <w:t xml:space="preserve">    ocr_score: float</w:t>
        <w:br/>
        <w:t xml:space="preserve">    bbox: BoundingBox</w:t>
      </w:r>
    </w:p>
    <w:p>
      <w:pPr>
        <w:pStyle w:val="Heading2"/>
      </w:pPr>
      <w:r>
        <w:t>Done when</w:t>
      </w:r>
    </w:p>
    <w:p>
      <w:r>
        <w:t>A documented schema and example results cover multiple plates, no plate, low confidence, invalid syntax and runtime failure. Every candidate retains its own box, text, confidence and pass metadata; the Edge adapter can map the required subset into Candidate/FrameRecognition. The runtime accepts no RFID/registration data and makes no access decision.</w:t>
      </w:r>
    </w:p>
    <w:p>
      <w:pPr>
        <w:pStyle w:val="Heading1"/>
        <w:pageBreakBefore/>
      </w:pPr>
      <w:r>
        <w:t>4. Document canonical plate normalisation</w:t>
      </w:r>
    </w:p>
    <w:p>
      <w:pPr>
        <w:pStyle w:val="Subtitle"/>
      </w:pPr>
      <w:r>
        <w:t>CAN FOLLOW INITIAL INTEGRATION</w:t>
      </w:r>
    </w:p>
    <w:p>
      <w:pPr>
        <w:pStyle w:val="Heading2"/>
      </w:pPr>
      <w:r>
        <w:t>What we need</w:t>
      </w:r>
    </w:p>
    <w:p>
      <w:r>
        <w:t>Publish the exact normalisation sequence: case folding; removal of spaces, hyphens, dots and other separators; top-row then bottom-row joining; accepted syntax patterns; and any position-dependent O↔0 or other character corrections. State explicitly if no character substitutions are intended. Version these rules with the package.</w:t>
      </w:r>
    </w:p>
    <w:p>
      <w:pPr>
        <w:pStyle w:val="Heading2"/>
      </w:pPr>
      <w:r>
        <w:t>Why</w:t>
      </w:r>
    </w:p>
    <w:p>
      <w:r>
        <w:t>Stable canonical text is needed for frame voting and matching in Edge/Central. Undocumented corrections can merge distinct readings or change identifiers, while two-line joining must not join text from different candidates.</w:t>
      </w:r>
    </w:p>
    <w:p>
      <w:pPr>
        <w:pStyle w:val="Heading2"/>
      </w:pPr>
      <w:r>
        <w:t>Evidence</w:t>
      </w:r>
    </w:p>
    <w:p>
      <w:hyperlink r:id="rId25">
        <w:r>
          <w:rPr>
            <w:color w:val="245A81"/>
          </w:rPr>
          <w:t>AI: lpr_core/validator.py:7–35 — AUTO_PATTERN, MOTO_PATTERN and clean_and_correct</w:t>
        </w:r>
      </w:hyperlink>
    </w:p>
    <w:p>
      <w:hyperlink r:id="rId26">
        <w:r>
          <w:rPr>
            <w:color w:val="245A81"/>
          </w:rPr>
          <w:t>AI: main.py:146–154 — two-line joining before validation</w:t>
        </w:r>
      </w:hyperlink>
    </w:p>
    <w:p>
      <w:hyperlink r:id="rId27">
        <w:r>
          <w:rPr>
            <w:color w:val="245A81"/>
          </w:rPr>
          <w:t>AI: lpr_engine.py:654–656 — pipeline multi-line validation</w:t>
        </w:r>
      </w:hyperlink>
    </w:p>
    <w:p>
      <w:hyperlink r:id="rId28">
        <w:r>
          <w:rPr>
            <w:color w:val="245A81"/>
          </w:rPr>
          <w:t>AI: lpr_core/validator.py:104–112 — match_plate uses edit distance; it is separate identity matching</w:t>
        </w:r>
      </w:hyperlink>
    </w:p>
    <w:p>
      <w:r>
        <w:t>Verified correction: despite its name, clean_and_correct currently uppercases, removes non-alphanumeric characters and validates; it contains no O↔0 substitution. Joining is in pipeline/callers, not inside validator.py. These regexes describe the current implementation, not a legal certification of all valid Vietnamese plates.</w:t>
      </w:r>
    </w:p>
    <w:p>
      <w:pPr>
        <w:pStyle w:val="Heading2"/>
      </w:pPr>
      <w:r>
        <w:t>Code evidence</w:t>
      </w:r>
    </w:p>
    <w:p>
      <w:pPr>
        <w:pStyle w:val="Caption"/>
      </w:pPr>
      <w:r>
        <w:t>AI: lpr_core/validator.py:7–7</w:t>
      </w:r>
    </w:p>
    <w:p>
      <w:pPr>
        <w:pStyle w:val="CodeEvidence"/>
        <w:shd w:fill="F1F4F8"/>
      </w:pPr>
      <w:r>
        <w:t xml:space="preserve">    AUTO_PATTERN = re.compile(r'^[1-9][0-9][A-Z][0-9]{4,6}$')</w:t>
      </w:r>
    </w:p>
    <w:p>
      <w:pPr>
        <w:pStyle w:val="Caption"/>
      </w:pPr>
      <w:r>
        <w:t>AI: lpr_core/validator.py:11–11</w:t>
      </w:r>
    </w:p>
    <w:p>
      <w:pPr>
        <w:pStyle w:val="CodeEvidence"/>
        <w:shd w:fill="F1F4F8"/>
      </w:pPr>
      <w:r>
        <w:t xml:space="preserve">    MOTO_PATTERN = re.compile(r'^[1-9][0-9]([A-Z][0-9]|[A-Z]{2})[0-9]{4,6}$')</w:t>
      </w:r>
    </w:p>
    <w:p>
      <w:pPr>
        <w:pStyle w:val="Caption"/>
      </w:pPr>
      <w:r>
        <w:t>AI: lpr_core/validator.py:18–25</w:t>
      </w:r>
    </w:p>
    <w:p>
      <w:pPr>
        <w:pStyle w:val="CodeEvidence"/>
        <w:shd w:fill="F1F4F8"/>
      </w:pPr>
      <w:r>
        <w:t xml:space="preserve">        # Step 1: Strip all non-alphanumeric characters (drop hyphens, dots, spaces, rivets)</w:t>
        <w:br/>
        <w:t xml:space="preserve">        cleaned = re.sub(r'[^A-Z0-9]', '', raw_text.upper())</w:t>
        <w:br/>
        <w:t xml:space="preserve">        </w:t>
        <w:br/>
        <w:t xml:space="preserve">        # Step 2: Validate against standardized alphanumeric Vietnamese syntax patterns</w:t>
        <w:br/>
        <w:t xml:space="preserve">        is_valid = bool(</w:t>
        <w:br/>
        <w:t xml:space="preserve">            VietnamPlateValidator.AUTO_PATTERN.match(cleaned) or </w:t>
        <w:br/>
        <w:t xml:space="preserve">            VietnamPlateValidator.MOTO_PATTERN.match(cleaned)</w:t>
        <w:br/>
        <w:t xml:space="preserve">        )</w:t>
      </w:r>
    </w:p>
    <w:p>
      <w:pPr>
        <w:pStyle w:val="Caption"/>
      </w:pPr>
      <w:r>
        <w:t>AI: main.py:147–150</w:t>
      </w:r>
    </w:p>
    <w:p>
      <w:pPr>
        <w:pStyle w:val="CodeEvidence"/>
        <w:shd w:fill="F1F4F8"/>
      </w:pPr>
      <w:r>
        <w:t xml:space="preserve">            # 2-line plate: join lines in reading order (top row + bottom row)</w:t>
        <w:br/>
        <w:t xml:space="preserve">            line_texts = [r['validated_text'] for r in results if r['validated_text']]</w:t>
        <w:br/>
        <w:t xml:space="preserve">            ocr_text = "-".join(line_texts)</w:t>
        <w:br/>
        <w:t xml:space="preserve">            ocr_conf = sum(r['confidence'] for r in results) / len(results)</w:t>
      </w:r>
    </w:p>
    <w:p>
      <w:pPr>
        <w:pStyle w:val="Heading2"/>
      </w:pPr>
      <w:r>
        <w:t>Done when</w:t>
      </w:r>
    </w:p>
    <w:p>
      <w:r>
        <w:t>A short specification and executable examples show separators, both plate layouts, ambiguous characters, empty input and invalid syntax. They distinguish normalisation from fuzzy matching and define confidence alignment when characters are removed or changed. Edge can use the returned canonical value directly without a second implementation.</w:t>
      </w:r>
    </w:p>
    <w:p>
      <w:pPr>
        <w:pStyle w:val="Heading1"/>
        <w:pageBreakBefore/>
      </w:pPr>
      <w:r>
        <w:t>5. Expose thresholds and recommend operating values</w:t>
      </w:r>
    </w:p>
    <w:p>
      <w:pPr>
        <w:pStyle w:val="Subtitle"/>
      </w:pPr>
      <w:r>
        <w:t>CAN FOLLOW INITIAL INTEGRATION</w:t>
      </w:r>
    </w:p>
    <w:p>
      <w:pPr>
        <w:pStyle w:val="Heading2"/>
      </w:pPr>
      <w:r>
        <w:t>What we need</w:t>
      </w:r>
    </w:p>
    <w:p>
      <w:r>
        <w:t>Make detection and OCR acceptance thresholds parameters, with recommended defaults and a measured rationale. Document score meaning and range, mean versus minimum-character confidence, NMS IoU/max detections, and which thresholds control retries versus final acceptance. Explain the intended high-recall mode separately from normal operation.</w:t>
      </w:r>
    </w:p>
    <w:p>
      <w:pPr>
        <w:pStyle w:val="Heading2"/>
      </w:pPr>
      <w:r>
        <w:t>Why</w:t>
      </w:r>
    </w:p>
    <w:p>
      <w:r>
        <w:t>The current entry points disagree: infer.py and benchmarks use detection 0.45, while main.py uses 0.20. Edge already exposes detection_threshold and ocr_threshold in each lane profile; the library must apply those settings consistently.</w:t>
      </w:r>
    </w:p>
    <w:p>
      <w:pPr>
        <w:pStyle w:val="Heading2"/>
      </w:pPr>
      <w:r>
        <w:t>Evidence</w:t>
      </w:r>
    </w:p>
    <w:p>
      <w:hyperlink r:id="rId29">
        <w:r>
          <w:rPr>
            <w:color w:val="245A81"/>
          </w:rPr>
          <w:t>AI: infer.py:124–124 — --conf default</w:t>
        </w:r>
      </w:hyperlink>
    </w:p>
    <w:p>
      <w:hyperlink r:id="rId30">
        <w:r>
          <w:rPr>
            <w:color w:val="245A81"/>
          </w:rPr>
          <w:t>AI: benchmarks/run_benchmarks.py:61–61 — benchmark detector threshold</w:t>
        </w:r>
      </w:hyperlink>
    </w:p>
    <w:p>
      <w:hyperlink r:id="rId31">
        <w:r>
          <w:rPr>
            <w:color w:val="245A81"/>
          </w:rPr>
          <w:t>AI: main.py:27–27 — demo detector threshold</w:t>
        </w:r>
      </w:hyperlink>
    </w:p>
    <w:p>
      <w:hyperlink r:id="rId32">
        <w:r>
          <w:rPr>
            <w:color w:val="245A81"/>
          </w:rPr>
          <w:t>AI: lpr_engine.py:798–806 — first-pass mean/minimum confidence gates</w:t>
        </w:r>
      </w:hyperlink>
    </w:p>
    <w:p>
      <w:hyperlink r:id="rId33">
        <w:r>
          <w:rPr>
            <w:color w:val="245A81"/>
          </w:rPr>
          <w:t>AI: main.py:204–204 — demo syntax branch uses OCR 0.50</w:t>
        </w:r>
      </w:hyperlink>
    </w:p>
    <w:p>
      <w:r>
        <w:t>Edge: src/cerberus_edge/core/bootstrap/config.py:17–21 — ProfileConfig defaults</w:t>
      </w:r>
    </w:p>
    <w:p>
      <w:pPr>
        <w:pStyle w:val="Heading2"/>
      </w:pPr>
      <w:r>
        <w:t>Code evidence</w:t>
      </w:r>
    </w:p>
    <w:p>
      <w:pPr>
        <w:pStyle w:val="Caption"/>
      </w:pPr>
      <w:r>
        <w:t>AI: infer.py:124–124</w:t>
      </w:r>
    </w:p>
    <w:p>
      <w:pPr>
        <w:pStyle w:val="CodeEvidence"/>
        <w:shd w:fill="F1F4F8"/>
      </w:pPr>
      <w:r>
        <w:t xml:space="preserve">    parser.add_argument("--conf", type=float, default=0.45, help="Confidence threshold (default: 0.45)")</w:t>
      </w:r>
    </w:p>
    <w:p>
      <w:pPr>
        <w:pStyle w:val="Caption"/>
      </w:pPr>
      <w:r>
        <w:t>AI: main.py:27–27</w:t>
      </w:r>
    </w:p>
    <w:p>
      <w:pPr>
        <w:pStyle w:val="CodeEvidence"/>
        <w:shd w:fill="F1F4F8"/>
      </w:pPr>
      <w:r>
        <w:t>primary_detector = YOLODetector(model_path, target_classes=['plate', 'license_plate'], confidence_threshold=0.20) # edited confidence score as of 4:13pm</w:t>
      </w:r>
    </w:p>
    <w:p>
      <w:pPr>
        <w:pStyle w:val="Caption"/>
      </w:pPr>
      <w:r>
        <w:t>AI: lpr_engine.py:798–804</w:t>
      </w:r>
    </w:p>
    <w:p>
      <w:pPr>
        <w:pStyle w:val="CodeEvidence"/>
        <w:shd w:fill="F1F4F8"/>
      </w:pPr>
      <w:r>
        <w:t xml:space="preserve">        first_try_ok = (</w:t>
        <w:br/>
        <w:t xml:space="preserve">            bool(detections) and </w:t>
        <w:br/>
        <w:t xml:space="preserve">            detections[0]['confidence'] &gt;= self.detector.confidence_threshold and </w:t>
        <w:br/>
        <w:t xml:space="preserve">            self._is_strictly_valid(ocr_results) and </w:t>
        <w:br/>
        <w:t xml:space="preserve">            ocr_conf &gt;= 0.70 and # Pass 1 requires mean confidence &gt;= 70%</w:t>
        <w:br/>
        <w:t xml:space="preserve">            ocr_min_conf &gt;= 0.60 and</w:t>
        <w:br/>
        <w:t xml:space="preserve">            is_region_valid and</w:t>
      </w:r>
    </w:p>
    <w:p>
      <w:pPr>
        <w:pStyle w:val="Caption"/>
      </w:pPr>
      <w:r>
        <w:t>Edge: src/cerberus_edge/core/bootstrap/config.py:17–21</w:t>
      </w:r>
    </w:p>
    <w:p>
      <w:pPr>
        <w:pStyle w:val="CodeEvidence"/>
        <w:shd w:fill="F1F4F8"/>
      </w:pPr>
      <w:r>
        <w:t>class ProfileConfig(ConfigModel):</w:t>
        <w:br/>
        <w:t xml:space="preserve">    detection_threshold: UnitFloat = 0.5</w:t>
        <w:br/>
        <w:t xml:space="preserve">    ocr_threshold: UnitFloat = 0.5</w:t>
        <w:br/>
        <w:t xml:space="preserve">    max_candidates: int = Field(default=8, gt=0)</w:t>
        <w:br/>
        <w:t xml:space="preserve">    vote: VoteConfig = VoteConfig()</w:t>
      </w:r>
    </w:p>
    <w:p>
      <w:pPr>
        <w:pStyle w:val="Heading2"/>
      </w:pPr>
      <w:r>
        <w:t>Done when</w:t>
      </w:r>
    </w:p>
    <w:p>
      <w:r>
        <w:t>An API example sets both thresholds without editing source. Documentation resolves 0.20 versus 0.45 using validation results, identifies every remaining fixed retry threshold and explains how ocr_threshold maps to returned scores. Changing a threshold produces predictable candidate filtering/retry behavior; confidence values are never confused with syntax validity.</w:t>
      </w:r>
    </w:p>
    <w:p>
      <w:pPr>
        <w:pStyle w:val="Heading1"/>
        <w:pageBreakBefore/>
      </w:pPr>
      <w:r>
        <w:t>6. Direct ONNX Runtime, reproducible dependencies and warm-up</w:t>
      </w:r>
    </w:p>
    <w:p>
      <w:pPr>
        <w:pStyle w:val="Subtitle"/>
      </w:pPr>
      <w:r>
        <w:t>BLOCKS INTEGRATION</w:t>
      </w:r>
    </w:p>
    <w:p>
      <w:pPr>
        <w:pStyle w:val="Heading2"/>
      </w:pPr>
      <w:r>
        <w:t>What we need</w:t>
      </w:r>
    </w:p>
    <w:p>
      <w:r>
        <w:t>Run detector and OCR inference through ONNX Runtime directly; do not import or install Ultralytics in the inference distribution. Your team owns the detector preprocessing, decoding and NMS implementation required to replace the wrapper. Training/export tools may retain Ultralytics separately. A small, pinned fast-plate-ocr component is acceptable if it uses ONNX Runtime and its configuration/decoding are included in the supported package contract.</w:t>
      </w:r>
    </w:p>
    <w:p>
      <w:pPr>
        <w:pStyle w:val="Heading2"/>
      </w:pPr>
      <w:r>
        <w:t>Why</w:t>
      </w:r>
    </w:p>
    <w:p>
      <w:r>
        <w:t>The current detector imports Ultralytics even for ONNX weights. Removing that inference dependency reduces the runtime footprint and avoids shipping its AGPL-3.0 framework code; it does not by itself establish rights to the trained weights (item 10). First-use delays must finish before the worker accepts recognition traffic.</w:t>
      </w:r>
    </w:p>
    <w:p>
      <w:r>
        <w:t>Pin tested runtime dependency versions in a reproducible lock/constraints file, including numpy, OpenCV, ONNX Runtime and OCR support. Provide warmup() or constructor warm-up, reuse sessions, document supported Linux CPU/runtime versions and state thread-safety: shared-instance calls, serialisation or one instance per worker. Construction and warm-up may read model assets.</w:t>
      </w:r>
    </w:p>
    <w:p>
      <w:pPr>
        <w:pStyle w:val="Heading2"/>
      </w:pPr>
      <w:r>
        <w:t>Evidence</w:t>
      </w:r>
    </w:p>
    <w:p>
      <w:hyperlink r:id="rId34">
        <w:r>
          <w:rPr>
            <w:color w:val="245A81"/>
          </w:rPr>
          <w:t>AI: lpr_engine.py:78–89 — YOLODetector.__init__</w:t>
        </w:r>
      </w:hyperlink>
    </w:p>
    <w:p>
      <w:hyperlink r:id="rId35">
        <w:r>
          <w:rPr>
            <w:color w:val="245A81"/>
          </w:rPr>
          <w:t>AI: requirements.txt:2–12 — open-ended dependency bounds</w:t>
        </w:r>
      </w:hyperlink>
    </w:p>
    <w:p>
      <w:hyperlink r:id="rId36">
        <w:r>
          <w:rPr>
            <w:color w:val="245A81"/>
          </w:rPr>
          <w:t>AI: lpr_engine.py:507–517 — OCR CPU adapter</w:t>
        </w:r>
      </w:hyperlink>
    </w:p>
    <w:p>
      <w:hyperlink r:id="rId37">
        <w:r>
          <w:rPr>
            <w:color w:val="245A81"/>
          </w:rPr>
          <w:t>AI: lpr_engine.py:855–889 — optional timing pass is not a startup warmup API</w:t>
        </w:r>
      </w:hyperlink>
    </w:p>
    <w:p>
      <w:r>
        <w:t>AI PDF guide pp. 4 and 6: first detection 22,129.8 ms and 3,250.1 ms, respectively; see item 8 for metric boundaries.</w:t>
      </w:r>
    </w:p>
    <w:p>
      <w:pPr>
        <w:pStyle w:val="Heading2"/>
      </w:pPr>
      <w:r>
        <w:t>Code evidence</w:t>
      </w:r>
    </w:p>
    <w:p>
      <w:pPr>
        <w:pStyle w:val="Caption"/>
      </w:pPr>
      <w:r>
        <w:t>AI: lpr_engine.py:81–81</w:t>
      </w:r>
    </w:p>
    <w:p>
      <w:pPr>
        <w:pStyle w:val="CodeEvidence"/>
        <w:shd w:fill="F1F4F8"/>
      </w:pPr>
      <w:r>
        <w:t xml:space="preserve">        from ultralytics import YOLO</w:t>
      </w:r>
    </w:p>
    <w:p>
      <w:pPr>
        <w:pStyle w:val="Caption"/>
      </w:pPr>
      <w:r>
        <w:t>AI: requirements.txt:2–7</w:t>
      </w:r>
    </w:p>
    <w:p>
      <w:pPr>
        <w:pStyle w:val="CodeEvidence"/>
        <w:shd w:fill="F1F4F8"/>
      </w:pPr>
      <w:r>
        <w:t>opencv-python&gt;=4.8.0</w:t>
        <w:br/>
        <w:t>ultralytics&gt;=8.3.0</w:t>
        <w:br/>
        <w:br/>
        <w:t># Production OCR (CCT-XS) &amp; ONNX Runtime</w:t>
        <w:br/>
        <w:t>fast-plate-ocr&gt;=1.1.0</w:t>
        <w:br/>
        <w:t>onnxruntime&gt;=1.19.0</w:t>
      </w:r>
    </w:p>
    <w:p>
      <w:pPr>
        <w:pStyle w:val="Caption"/>
      </w:pPr>
      <w:r>
        <w:t>AI: lpr_engine.py:513–517</w:t>
      </w:r>
    </w:p>
    <w:p>
      <w:pPr>
        <w:pStyle w:val="CodeEvidence"/>
        <w:shd w:fill="F1F4F8"/>
      </w:pPr>
      <w:r>
        <w:t xml:space="preserve">        self.recognizer = LicensePlateRecognizer(</w:t>
        <w:br/>
        <w:t xml:space="preserve">            onnx_model_path=model_path,</w:t>
        <w:br/>
        <w:t xml:space="preserve">            plate_config_path=config_path,</w:t>
        <w:br/>
        <w:t xml:space="preserve">            device='cpu'</w:t>
        <w:br/>
        <w:t xml:space="preserve">        )</w:t>
      </w:r>
    </w:p>
    <w:p>
      <w:pPr>
        <w:pStyle w:val="Heading2"/>
      </w:pPr>
      <w:r>
        <w:t>Done when</w:t>
      </w:r>
    </w:p>
    <w:p>
      <w:r>
        <w:t>A clean Python 3.12/Linux CPU install loads both selected ONNX models, warms them before readiness and processes repeated frames without rebuilding sessions. Its installed dependency graph and imports exclude Ultralytics. Pinned environment, documented concurrency policy and a repeat-call/concurrency check are supplied; the replacement pipeline is compared with your reference outputs.</w:t>
      </w:r>
    </w:p>
    <w:p>
      <w:pPr>
        <w:pStyle w:val="Heading1"/>
        <w:pageBreakBefore/>
      </w:pPr>
      <w:r>
        <w:t>7. Publish a versioned model release</w:t>
      </w:r>
    </w:p>
    <w:p>
      <w:pPr>
        <w:pStyle w:val="Subtitle"/>
      </w:pPr>
      <w:r>
        <w:t>BLOCKS INTEGRATION</w:t>
      </w:r>
    </w:p>
    <w:p>
      <w:pPr>
        <w:pStyle w:val="Heading2"/>
      </w:pPr>
      <w:r>
        <w:t>What we need</w:t>
      </w:r>
    </w:p>
    <w:p>
      <w:r>
        <w:t>Select exactly one detector and one OCR model as the release candidate. Publish a tagged GitHub Release containing the wheel/source distribution, selected models, matching OCR YAML, SHA-256 checksums and a manifest linking package, model/config versions and source commit. Stop adding experimental .pt checkpoints to the repository; store training artifacts separately and distribute runtime assets through releases.</w:t>
      </w:r>
    </w:p>
    <w:p>
      <w:pPr>
        <w:pStyle w:val="Heading2"/>
      </w:pPr>
      <w:r>
        <w:t>Why</w:t>
      </w:r>
    </w:p>
    <w:p>
      <w:r>
        <w:t>Integration must identify an immutable package/model/config combination and verify its integrity. Multiple historical checkpoints and a second experimental ONNX detector make file names alone an unreliable deployment contract.</w:t>
      </w:r>
    </w:p>
    <w:p>
      <w:pPr>
        <w:pStyle w:val="Heading2"/>
      </w:pPr>
      <w:r>
        <w:t>Evidence</w:t>
      </w:r>
    </w:p>
    <w:p>
      <w:hyperlink r:id="rId38">
        <w:r>
          <w:rPr>
            <w:color w:val="245A81"/>
          </w:rPr>
          <w:t>AI: main.py:25–29 — current detector and OCR selection</w:t>
        </w:r>
      </w:hyperlink>
    </w:p>
    <w:p>
      <w:hyperlink r:id="rId39">
        <w:r>
          <w:rPr>
            <w:color w:val="245A81"/>
          </w:rPr>
          <w:t>AI: lpr_engine.py:565–578 — factory prefers CCT-XS; CRNN/LPRNet are deprecated</w:t>
        </w:r>
      </w:hyperlink>
    </w:p>
    <w:p>
      <w:r>
        <w:t>GitHub recursive tree at the reviewed commit was complete (truncated=false). Counts and byte sizes below come from tree metadata; model contents were not downloaded.</w:t>
      </w:r>
    </w:p>
    <w:tbl>
      <w:tblPr>
        <w:tblStyle w:val="LightShading-Accent1"/>
        <w:tblW w:type="auto" w:w="0"/>
        <w:jc w:val="center"/>
        <w:tblLook w:firstColumn="1" w:firstRow="1" w:lastColumn="0" w:lastRow="0" w:noHBand="0" w:noVBand="1" w:val="04A0"/>
      </w:tblPr>
      <w:tblGrid>
        <w:gridCol w:w="3317"/>
        <w:gridCol w:w="3317"/>
        <w:gridCol w:w="3317"/>
      </w:tblGrid>
      <w:tr>
        <w:trPr>
          <w:tblHeader/>
          <w:cantSplit/>
        </w:trPr>
        <w:tc>
          <w:tcPr>
            <w:tcW w:type="dxa" w:w="6336"/>
          </w:tcPr>
          <w:p>
            <w:pPr>
              <w:spacing w:after="80"/>
            </w:pPr>
            <w:r>
              <w:rPr>
                <w:sz w:val="18"/>
              </w:rPr>
              <w:t>Directory / type</w:t>
            </w:r>
          </w:p>
        </w:tc>
        <w:tc>
          <w:tcPr>
            <w:tcW w:type="dxa" w:w="1008"/>
          </w:tcPr>
          <w:p>
            <w:pPr>
              <w:spacing w:after="80"/>
            </w:pPr>
            <w:r>
              <w:rPr>
                <w:sz w:val="18"/>
              </w:rPr>
              <w:t>Files</w:t>
            </w:r>
          </w:p>
        </w:tc>
        <w:tc>
          <w:tcPr>
            <w:tcW w:type="dxa" w:w="2520"/>
          </w:tcPr>
          <w:p>
            <w:pPr>
              <w:spacing w:after="80"/>
            </w:pPr>
            <w:r>
              <w:rPr>
                <w:sz w:val="18"/>
              </w:rPr>
              <w:t>Total bytes</w:t>
            </w:r>
          </w:p>
        </w:tc>
      </w:tr>
      <w:tr>
        <w:trPr>
          <w:cantSplit/>
        </w:trPr>
        <w:tc>
          <w:tcPr>
            <w:tcW w:type="dxa" w:w="6336"/>
          </w:tcPr>
          <w:p>
            <w:pPr>
              <w:spacing w:after="80"/>
            </w:pPr>
            <w:r>
              <w:rPr>
                <w:sz w:val="18"/>
              </w:rPr>
              <w:t>Models_yolo/ — .pt</w:t>
            </w:r>
          </w:p>
        </w:tc>
        <w:tc>
          <w:tcPr>
            <w:tcW w:type="dxa" w:w="1008"/>
          </w:tcPr>
          <w:p>
            <w:pPr>
              <w:spacing w:after="80"/>
            </w:pPr>
            <w:r>
              <w:rPr>
                <w:sz w:val="18"/>
              </w:rPr>
              <w:t>21</w:t>
            </w:r>
          </w:p>
        </w:tc>
        <w:tc>
          <w:tcPr>
            <w:tcW w:type="dxa" w:w="2520"/>
          </w:tcPr>
          <w:p>
            <w:pPr>
              <w:spacing w:after="80"/>
            </w:pPr>
            <w:r>
              <w:rPr>
                <w:sz w:val="18"/>
              </w:rPr>
              <w:t>237,941,812</w:t>
            </w:r>
          </w:p>
        </w:tc>
      </w:tr>
      <w:tr>
        <w:trPr>
          <w:cantSplit/>
        </w:trPr>
        <w:tc>
          <w:tcPr>
            <w:tcW w:type="dxa" w:w="6336"/>
          </w:tcPr>
          <w:p>
            <w:pPr>
              <w:spacing w:after="80"/>
            </w:pPr>
            <w:r>
              <w:rPr>
                <w:sz w:val="18"/>
              </w:rPr>
              <w:t>Models_yolo/ — .onnx</w:t>
            </w:r>
          </w:p>
        </w:tc>
        <w:tc>
          <w:tcPr>
            <w:tcW w:type="dxa" w:w="1008"/>
          </w:tcPr>
          <w:p>
            <w:pPr>
              <w:spacing w:after="80"/>
            </w:pPr>
            <w:r>
              <w:rPr>
                <w:sz w:val="18"/>
              </w:rPr>
              <w:t>2</w:t>
            </w:r>
          </w:p>
        </w:tc>
        <w:tc>
          <w:tcPr>
            <w:tcW w:type="dxa" w:w="2520"/>
          </w:tcPr>
          <w:p>
            <w:pPr>
              <w:spacing w:after="80"/>
            </w:pPr>
            <w:r>
              <w:rPr>
                <w:sz w:val="18"/>
              </w:rPr>
              <w:t>21,326,832</w:t>
            </w:r>
          </w:p>
        </w:tc>
      </w:tr>
      <w:tr>
        <w:trPr>
          <w:cantSplit/>
        </w:trPr>
        <w:tc>
          <w:tcPr>
            <w:tcW w:type="dxa" w:w="6336"/>
          </w:tcPr>
          <w:p>
            <w:pPr>
              <w:spacing w:after="80"/>
            </w:pPr>
            <w:r>
              <w:rPr>
                <w:sz w:val="18"/>
              </w:rPr>
              <w:t>Models_ocr/ — .pt</w:t>
            </w:r>
          </w:p>
        </w:tc>
        <w:tc>
          <w:tcPr>
            <w:tcW w:type="dxa" w:w="1008"/>
          </w:tcPr>
          <w:p>
            <w:pPr>
              <w:spacing w:after="80"/>
            </w:pPr>
            <w:r>
              <w:rPr>
                <w:sz w:val="18"/>
              </w:rPr>
              <w:t>0</w:t>
            </w:r>
          </w:p>
        </w:tc>
        <w:tc>
          <w:tcPr>
            <w:tcW w:type="dxa" w:w="2520"/>
          </w:tcPr>
          <w:p>
            <w:pPr>
              <w:spacing w:after="80"/>
            </w:pPr>
            <w:r>
              <w:rPr>
                <w:sz w:val="18"/>
              </w:rPr>
              <w:t>0</w:t>
            </w:r>
          </w:p>
        </w:tc>
      </w:tr>
      <w:tr>
        <w:trPr>
          <w:cantSplit/>
        </w:trPr>
        <w:tc>
          <w:tcPr>
            <w:tcW w:type="dxa" w:w="6336"/>
          </w:tcPr>
          <w:p>
            <w:pPr>
              <w:spacing w:after="80"/>
            </w:pPr>
            <w:r>
              <w:rPr>
                <w:sz w:val="18"/>
              </w:rPr>
              <w:t>Models_ocr/ — .onnx</w:t>
            </w:r>
          </w:p>
        </w:tc>
        <w:tc>
          <w:tcPr>
            <w:tcW w:type="dxa" w:w="1008"/>
          </w:tcPr>
          <w:p>
            <w:pPr>
              <w:spacing w:after="80"/>
            </w:pPr>
            <w:r>
              <w:rPr>
                <w:sz w:val="18"/>
              </w:rPr>
              <w:t>2</w:t>
            </w:r>
          </w:p>
        </w:tc>
        <w:tc>
          <w:tcPr>
            <w:tcW w:type="dxa" w:w="2520"/>
          </w:tcPr>
          <w:p>
            <w:pPr>
              <w:spacing w:after="80"/>
            </w:pPr>
            <w:r>
              <w:rPr>
                <w:sz w:val="18"/>
              </w:rPr>
              <w:t>5,394,352</w:t>
            </w:r>
          </w:p>
        </w:tc>
      </w:tr>
    </w:tbl>
    <w:p>
      <w:r>
        <w:t>Detector exports: balanced_40eps_yolo11n.onnx and balanced_skew_robust_yolo11n.onnx, 10,663,416 bytes each. OCR exports: cct_xs.onnx, 3,344,292 bytes; lprnet.onnx, 2,050,060 bytes. Treat the latter as historical, not a second runtime requirement.</w:t>
      </w:r>
    </w:p>
    <w:p>
      <w:pPr>
        <w:pStyle w:val="Heading2"/>
      </w:pPr>
      <w:r>
        <w:t>Code evidence</w:t>
      </w:r>
    </w:p>
    <w:p>
      <w:pPr>
        <w:pStyle w:val="Caption"/>
      </w:pPr>
      <w:r>
        <w:t>AI: main.py:25–25</w:t>
      </w:r>
    </w:p>
    <w:p>
      <w:pPr>
        <w:pStyle w:val="CodeEvidence"/>
        <w:shd w:fill="F1F4F8"/>
      </w:pPr>
      <w:r>
        <w:t>model_path = "Models_yolo/balanced_40eps_yolo11n.onnx"</w:t>
      </w:r>
    </w:p>
    <w:p>
      <w:pPr>
        <w:pStyle w:val="Caption"/>
      </w:pPr>
      <w:r>
        <w:t>AI: main.py:29–29</w:t>
      </w:r>
    </w:p>
    <w:p>
      <w:pPr>
        <w:pStyle w:val="CodeEvidence"/>
        <w:shd w:fill="F1F4F8"/>
      </w:pPr>
      <w:r>
        <w:t>ocr = get_ocr_adapter("cct_xs")</w:t>
      </w:r>
    </w:p>
    <w:p>
      <w:pPr>
        <w:pStyle w:val="Heading2"/>
      </w:pPr>
      <w:r>
        <w:t>Done when</w:t>
      </w:r>
    </w:p>
    <w:p>
      <w:r>
        <w:t>One release tag unambiguously selects both networks and their config; checksum verification succeeds and a consumer can install/download by version. A model card covers input dimensions, color order, supported layouts, thresholds, validation metrics and known failures, including strongly angled plates (PDF p. 4; benchmark summary:969–975). Package and model versions are returned or accessible for Edge reporting.</w:t>
      </w:r>
    </w:p>
    <w:p>
      <w:pPr>
        <w:pStyle w:val="Heading1"/>
        <w:pageBreakBefore/>
      </w:pPr>
      <w:r>
        <w:t>8. Benchmark latency on a Linux CPU</w:t>
      </w:r>
    </w:p>
    <w:p>
      <w:pPr>
        <w:pStyle w:val="Subtitle"/>
      </w:pPr>
      <w:r>
        <w:t>CAN FOLLOW INITIAL INTEGRATION</w:t>
      </w:r>
    </w:p>
    <w:p>
      <w:pPr>
        <w:pStyle w:val="Heading2"/>
      </w:pPr>
      <w:r>
        <w:t>What we need</w:t>
      </w:r>
    </w:p>
    <w:p>
      <w:r>
        <w:t>Provide a reproducible Linux CPU benchmark for both detect-only and the full in-memory pipeline. Measure process/model initialisation, first inference and warm inference separately; report mean, p50, p95, maximum, sample count, memory, CPU model, OS, thread settings, execution provider, input resolution and exact release/checksums. Include no-plate and retry-heavy cases as well as normal plates.</w:t>
      </w:r>
    </w:p>
    <w:p>
      <w:pPr>
        <w:pStyle w:val="Heading2"/>
      </w:pPr>
      <w:r>
        <w:t>Why</w:t>
      </w:r>
    </w:p>
    <w:p>
      <w:r>
        <w:t>The supplied guide shows Windows/PowerShell CPU examples. Those values motivate warm-up but do not predict our Linux worker’s throughput or deadline behavior; detector time, OCR time and full-pipeline time must stay distinct.</w:t>
      </w:r>
    </w:p>
    <w:p>
      <w:pPr>
        <w:pStyle w:val="Heading2"/>
      </w:pPr>
      <w:r>
        <w:t>Evidence</w:t>
      </w:r>
    </w:p>
    <w:p>
      <w:r>
        <w:t>AI PDF p. 6 screenshot: cold detection 3,250.1 ms, cold total 3,260.5 ms; warm detection 550.1 ms, warm OCR 14.9 ms, warm total 565.0 ms. PDF p. 4 screenshot: first benchmark detection 22,129.8 ms, average warm detection 376.0 ms and warm OCR 16.2 ms. PDF p. 5 shows a 372 ms warm full-pipeline HUD. Thus roughly 370–565 ms describes selected examples, not a guaranteed latency range.</w:t>
      </w:r>
    </w:p>
    <w:p>
      <w:hyperlink r:id="rId40">
        <w:r>
          <w:rPr>
            <w:color w:val="245A81"/>
          </w:rPr>
          <w:t>AI: benchmarks/BENCHMARK_SUMMARY.md:28–30 — older model comparison separates cold and steady detection/total</w:t>
        </w:r>
      </w:hyperlink>
    </w:p>
    <w:p>
      <w:hyperlink r:id="rId41">
        <w:r>
          <w:rPr>
            <w:color w:val="245A81"/>
          </w:rPr>
          <w:t>AI: benchmarks/BENCHMARK_SUMMARY.md:963–975 — later per-image log</w:t>
        </w:r>
      </w:hyperlink>
    </w:p>
    <w:p>
      <w:hyperlink r:id="rId42">
        <w:r>
          <w:rPr>
            <w:color w:val="245A81"/>
          </w:rPr>
          <w:t>AI: lpr_engine.py:859–877 — warm timing follows the chosen pass resolution</w:t>
        </w:r>
      </w:hyperlink>
    </w:p>
    <w:p>
      <w:pPr>
        <w:pStyle w:val="Heading2"/>
      </w:pPr>
      <w:r>
        <w:t>Code evidence</w:t>
      </w:r>
    </w:p>
    <w:p>
      <w:pPr>
        <w:pStyle w:val="Caption"/>
      </w:pPr>
      <w:r>
        <w:t>AI: lpr_engine.py:859–866</w:t>
      </w:r>
    </w:p>
    <w:p>
      <w:pPr>
        <w:pStyle w:val="CodeEvidence"/>
        <w:shd w:fill="F1F4F8"/>
      </w:pPr>
      <w:r>
        <w:t xml:space="preserve">        if measure_warm:</w:t>
        <w:br/>
        <w:t xml:space="preserve">            print("  [Steady-State Measurement] Running warm pass (without cold start)...")</w:t>
        <w:br/>
        <w:t xml:space="preserve">            warm_t0 = time.time()</w:t>
        <w:br/>
        <w:t xml:space="preserve">            warm_det_t0 = time.time()</w:t>
        <w:br/>
        <w:t xml:space="preserve">            warm_res_imgsz = 1024 if resolution == "1024px" else 640</w:t>
        <w:br/>
        <w:t xml:space="preserve">            warm_dets = self.detector.detect(image_path, imgsz=warm_res_imgsz)</w:t>
        <w:br/>
        <w:t xml:space="preserve">            warm_dets = self._select_primary(warm_dets, sort_by, primary_only)</w:t>
        <w:br/>
        <w:t xml:space="preserve">            warm_det_ms = (time.time() - warm_det_t0) * 1000.0</w:t>
      </w:r>
    </w:p>
    <w:p>
      <w:r>
        <w:t>Measurement caveat: process starts its timer after construction and its reported warm pass can reuse the final resolution instead of replaying the entire retry policy. Report true startup and complete-call timing separately; the benchmark log is reported inference output, not independently labelled accuracy ground truth.</w:t>
      </w:r>
    </w:p>
    <w:p>
      <w:pPr>
        <w:pStyle w:val="Heading2"/>
      </w:pPr>
      <w:r>
        <w:t>Done when</w:t>
      </w:r>
    </w:p>
    <w:p>
      <w:r>
        <w:t>A script plus machine-readable results reruns on Linux without network/GPU dependencies during inference. It measures the released ndarray APIs, excludes file encoding/debug output from in-memory latency and identifies timing boundaries. Detection-only and full-pipeline cold/warm results are separate, with first-pass and escalation behavior identified; backend and AI teams agree an operational budget from these results.</w:t>
      </w:r>
    </w:p>
    <w:p>
      <w:pPr>
        <w:pStyle w:val="Heading1"/>
        <w:pageBreakBefore/>
      </w:pPr>
      <w:r>
        <w:t>9. Supply a golden test set with storage permission</w:t>
      </w:r>
    </w:p>
    <w:p>
      <w:pPr>
        <w:pStyle w:val="Subtitle"/>
      </w:pPr>
      <w:r>
        <w:t>CAN FOLLOW INITIAL INTEGRATION</w:t>
      </w:r>
    </w:p>
    <w:p>
      <w:pPr>
        <w:pStyle w:val="Heading2"/>
      </w:pPr>
      <w:r>
        <w:t>What we need</w:t>
      </w:r>
    </w:p>
    <w:p>
      <w:r>
        <w:t>Deliver representative images and versioned JSON with human-verified expected plate text per image, or an explicit “no plate” result. Include cars, motorcycles, one/two-line plates, negative scenes, multiple plates, blur, low light and strong angles. Distinguish a real plate that the model misses from a scene containing no plate.</w:t>
      </w:r>
    </w:p>
    <w:p>
      <w:pPr>
        <w:pStyle w:val="Heading2"/>
      </w:pPr>
      <w:r>
        <w:t>Why</w:t>
      </w:r>
    </w:p>
    <w:p>
      <w:r>
        <w:t>A small shared regression set lets both teams detect packaging or preprocessing regressions. Existing benchmark output records model predictions and confidence; it cannot serve as ground truth without independent review. Images show real licence plates, so public availability alone is not permission to copy them into our repository.</w:t>
      </w:r>
    </w:p>
    <w:p>
      <w:r>
        <w:t>For every image, supply provenance and written confirmation that we may store and use it in the CerberusEdge repository for integration/regression testing, including the permitted repository visibility and redistribution conditions. Replace images for which permission cannot be confirmed; agree a non-sensitive or authorised alternative.</w:t>
      </w:r>
    </w:p>
    <w:p>
      <w:pPr>
        <w:pStyle w:val="Heading2"/>
      </w:pPr>
      <w:r>
        <w:t>Evidence</w:t>
      </w:r>
    </w:p>
    <w:p>
      <w:hyperlink r:id="rId43">
        <w:r>
          <w:rPr>
            <w:color w:val="245A81"/>
          </w:rPr>
          <w:t>AI: benchmarks/run_benchmarks.py:78–85 — test image discovery</w:t>
        </w:r>
      </w:hyperlink>
    </w:p>
    <w:p>
      <w:hyperlink r:id="rId44">
        <w:r>
          <w:rPr>
            <w:color w:val="245A81"/>
          </w:rPr>
          <w:t>AI: benchmarks/run_benchmarks.py:95–106 — current benchmark runs inference on those images</w:t>
        </w:r>
      </w:hyperlink>
    </w:p>
    <w:p>
      <w:hyperlink r:id="rId45">
        <w:r>
          <w:rPr>
            <w:color w:val="245A81"/>
          </w:rPr>
          <w:t>AI: benchmarks/BENCHMARK_SUMMARY.md:3–4 — describes measured model outputs</w:t>
        </w:r>
      </w:hyperlink>
    </w:p>
    <w:p>
      <w:hyperlink r:id="rId46">
        <w:r>
          <w:rPr>
            <w:color w:val="245A81"/>
          </w:rPr>
          <w:t>AI: benchmarks/BENCHMARK_SUMMARY.md:969–980 — difficult images and negative samples</w:t>
        </w:r>
      </w:hyperlink>
    </w:p>
    <w:p>
      <w:r>
        <w:t>The reviewed repository tree contains test_images/ assets; their storage/redistribution permissions were not verified by this review.</w:t>
      </w:r>
    </w:p>
    <w:p>
      <w:pPr>
        <w:pStyle w:val="Heading2"/>
      </w:pPr>
      <w:r>
        <w:t>Code evidence</w:t>
      </w:r>
    </w:p>
    <w:p>
      <w:pPr>
        <w:pStyle w:val="Caption"/>
      </w:pPr>
      <w:r>
        <w:t>AI: benchmarks/run_benchmarks.py:79–85</w:t>
      </w:r>
    </w:p>
    <w:p>
      <w:pPr>
        <w:pStyle w:val="CodeEvidence"/>
        <w:shd w:fill="F1F4F8"/>
      </w:pPr>
      <w:r>
        <w:t>if os.path.isdir(target_path):</w:t>
        <w:br/>
        <w:t xml:space="preserve">    extensions = ('*.jpg', '*.jpeg', '*.png', '*.bmp')</w:t>
        <w:br/>
        <w:t xml:space="preserve">    image_files = []</w:t>
        <w:br/>
        <w:t xml:space="preserve">    for ext in extensions:</w:t>
        <w:br/>
        <w:t xml:space="preserve">        image_files.extend(glob.glob(os.path.join(target_path, ext)))</w:t>
        <w:br/>
        <w:t xml:space="preserve">        image_files.extend(glob.glob(os.path.join(target_path, ext.upper())))</w:t>
        <w:br/>
        <w:t xml:space="preserve">    image_files = sorted(list(set(image_files)))</w:t>
      </w:r>
    </w:p>
    <w:p>
      <w:pPr>
        <w:pStyle w:val="Heading2"/>
      </w:pPr>
      <w:r>
        <w:t>Done when</w:t>
      </w:r>
    </w:p>
    <w:p>
      <w:r>
        <w:t>Images, expected-output JSON and a schema/readme are delivered together, with a model/config version and a runnable comparison command. Labels are reviewed, failures are documented, and no-detection is distinct from no-plate ground truth. Written permission explicitly covers storage and test use in our repository for every supplied real-plate image.</w:t>
      </w:r>
    </w:p>
    <w:p>
      <w:pPr>
        <w:pStyle w:val="Heading1"/>
        <w:pageBreakBefore/>
      </w:pPr>
      <w:r>
        <w:t>10. Confirm code, dataset and pretrained-weight licensing</w:t>
      </w:r>
    </w:p>
    <w:p>
      <w:pPr>
        <w:pStyle w:val="Subtitle"/>
      </w:pPr>
      <w:r>
        <w:t>CAN FOLLOW INITIAL INTEGRATION</w:t>
      </w:r>
    </w:p>
    <w:p>
      <w:pPr>
        <w:pStyle w:val="Heading2"/>
      </w:pPr>
      <w:r>
        <w:t>What we need</w:t>
      </w:r>
    </w:p>
    <w:p>
      <w:r>
        <w:t>Add a repository LICENSE and document the rights to distribute the package, trained detector/OCR weights and configuration. List every training dataset and pretrained-weight source, its license/version, attribution and applicable use/redistribution conditions. Confirm any Enterprise license coverage that applies to the intended Edge deployment.</w:t>
      </w:r>
    </w:p>
    <w:p>
      <w:pPr>
        <w:pStyle w:val="Heading2"/>
      </w:pPr>
      <w:r>
        <w:t>Why</w:t>
      </w:r>
    </w:p>
    <w:p>
      <w:r>
        <w:t>GitHub currently reports license=null, and the complete tree has no license file. This does not establish permission to redistribute the code or models. Runtime dependency removal also does not resolve provenance or licensing of training outputs.</w:t>
      </w:r>
    </w:p>
    <w:p>
      <w:pPr>
        <w:pStyle w:val="Heading2"/>
      </w:pPr>
      <w:r>
        <w:t>Evidence</w:t>
      </w:r>
    </w:p>
    <w:p>
      <w:r>
        <w:t>GitHub repository metadata: license=null; recursive tree: no LICENSE/licence file found. These are API/tree observations, not a legal opinion.</w:t>
      </w:r>
    </w:p>
    <w:p>
      <w:hyperlink r:id="rId47">
        <w:r>
          <w:rPr>
            <w:color w:val="245A81"/>
          </w:rPr>
          <w:t>AI: requirements.txt:2–7 — Ultralytics and OCR/runtime dependencies</w:t>
        </w:r>
      </w:hyperlink>
    </w:p>
    <w:p>
      <w:hyperlink r:id="rId48">
        <w:r>
          <w:rPr>
            <w:color w:val="245A81"/>
          </w:rPr>
          <w:t>AI: lpr_engine.py:81–89 — Ultralytics detector wrapper</w:t>
        </w:r>
      </w:hyperlink>
    </w:p>
    <w:p>
      <w:r>
        <w:t xml:space="preserve">Ultralytics’ published licensing FAQ states that models trained with its framework fall under AGPL-3.0 by default, with Enterprise licensing as an alternative. Please confirm how its terms and any agreements apply to your detector and our deployment; we are requesting confirmation, not asserting a legal conclusion. Source: </w:t>
      </w:r>
      <w:hyperlink r:id="rId49">
        <w:r>
          <w:rPr>
            <w:color w:val="245A81"/>
          </w:rPr>
          <w:t>Ultralytics licensing FAQ</w:t>
        </w:r>
      </w:hyperlink>
    </w:p>
    <w:p>
      <w:r>
        <w:t>In particular, please confirm the detector’s training/export framework and pretrained base, and the CCT-XS pretrained model/config origin. Training code, dataset images and model weights may each have different terms; identify each separately.</w:t>
      </w:r>
    </w:p>
    <w:p>
      <w:pPr>
        <w:pStyle w:val="Heading2"/>
      </w:pPr>
      <w:r>
        <w:t>Code evidence</w:t>
      </w:r>
    </w:p>
    <w:p>
      <w:pPr>
        <w:pStyle w:val="Caption"/>
      </w:pPr>
      <w:r>
        <w:t>AI: requirements.txt:3–3</w:t>
      </w:r>
    </w:p>
    <w:p>
      <w:pPr>
        <w:pStyle w:val="CodeEvidence"/>
        <w:shd w:fill="F1F4F8"/>
      </w:pPr>
      <w:r>
        <w:t>ultralytics&gt;=8.3.0</w:t>
      </w:r>
    </w:p>
    <w:p>
      <w:pPr>
        <w:pStyle w:val="Caption"/>
      </w:pPr>
      <w:r>
        <w:t>Metadata evidence (verbatim GitHub API value, separate from the code excerpt): license = null.</w:t>
      </w:r>
    </w:p>
    <w:p>
      <w:pPr>
        <w:pStyle w:val="Heading2"/>
      </w:pPr>
      <w:r>
        <w:t>Done when</w:t>
      </w:r>
    </w:p>
    <w:p>
      <w:r>
        <w:t>A LICENSE and provenance/license inventory accompany the release, with citations to source terms and any required permissions/attributions. The AI team provides a written confirmation covering package and model delivery plus intended deployment, and identifies unresolved questions explicitly for follow-up. This item follows the initial integration schedule as agreed in the priority table.</w:t>
      </w:r>
    </w:p>
    <w:p>
      <w:pPr>
        <w:pStyle w:val="Heading1"/>
      </w:pPr>
      <w:r>
        <w:t>Agreeing the result format</w:t>
      </w:r>
    </w:p>
    <w:p>
      <w:r>
        <w:t>We would be happy to arrange a short call to agree the candidate result format, the split detect/read_plate interfaces and the first release contents. Please bring a proposed schema, the selected detector/OCR pair and delivery dates for the blocking items; we can confirm the Edge adapter mapping together.</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Integration requirements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rPr>
      <w:t>SMART PARKING  /  AI → EDGE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7"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60"/>
    </w:pPr>
    <w:rPr>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vidence">
    <w:name w:val="Code Evidence"/>
    <w:pPr>
      <w:keepLines/>
      <w:spacing w:after="100" w:line="240" w:lineRule="auto"/>
      <w:ind w:left="101" w:right="7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ultralytics/ultralytics/blob/v8.3.0/ultralytics/engine/predictor.py#L115-L156" TargetMode="External"/><Relationship Id="rId12" Type="http://schemas.openxmlformats.org/officeDocument/2006/relationships/hyperlink" Target="https://github.com/ultralytics/ultralytics/blob/v8.3.0/ultralytics/models/yolo/detect/predict.py#L23-L40" TargetMode="External"/><Relationship Id="rId13" Type="http://schemas.openxmlformats.org/officeDocument/2006/relationships/hyperlink" Target="https://github.com/angweij1431/EIU_YOLO_PaddleOCR_Licenseplatedetection/blob/6d6aaa3c51516d7d5f58551159d02139d6ed75ae/lpr_engine.py#L21-L28" TargetMode="External"/><Relationship Id="rId14" Type="http://schemas.openxmlformats.org/officeDocument/2006/relationships/hyperlink" Target="https://github.com/angweij1431/EIU_YOLO_PaddleOCR_Licenseplatedetection/blob/6d6aaa3c51516d7d5f58551159d02139d6ed75ae/lpr_engine.py#L92-L96" TargetMode="External"/><Relationship Id="rId15" Type="http://schemas.openxmlformats.org/officeDocument/2006/relationships/hyperlink" Target="https://github.com/angweij1431/EIU_YOLO_PaddleOCR_Licenseplatedetection/blob/6d6aaa3c51516d7d5f58551159d02139d6ed75ae/lpr_engine.py#L736-L764" TargetMode="External"/><Relationship Id="rId16" Type="http://schemas.openxmlformats.org/officeDocument/2006/relationships/hyperlink" Target="https://github.com/angweij1431/EIU_YOLO_PaddleOCR_Licenseplatedetection/blob/6d6aaa3c51516d7d5f58551159d02139d6ed75ae/lpr_engine.py#L1010-L1011" TargetMode="External"/><Relationship Id="rId17" Type="http://schemas.openxmlformats.org/officeDocument/2006/relationships/hyperlink" Target="https://github.com/angweij1431/EIU_YOLO_PaddleOCR_Licenseplatedetection/blob/6d6aaa3c51516d7d5f58551159d02139d6ed75ae/main.py#L196-L196" TargetMode="External"/><Relationship Id="rId18" Type="http://schemas.openxmlformats.org/officeDocument/2006/relationships/hyperlink" Target="https://github.com/angweij1431/EIU_YOLO_PaddleOCR_Licenseplatedetection/blob/6d6aaa3c51516d7d5f58551159d02139d6ed75ae/lpr_engine.py#L92-L115" TargetMode="External"/><Relationship Id="rId19" Type="http://schemas.openxmlformats.org/officeDocument/2006/relationships/hyperlink" Target="https://github.com/angweij1431/EIU_YOLO_PaddleOCR_Licenseplatedetection/blob/6d6aaa3c51516d7d5f58551159d02139d6ed75ae/lpr_engine.py#L659-L732" TargetMode="External"/><Relationship Id="rId20" Type="http://schemas.openxmlformats.org/officeDocument/2006/relationships/hyperlink" Target="https://github.com/angweij1431/EIU_YOLO_PaddleOCR_Licenseplatedetection/blob/6d6aaa3c51516d7d5f58551159d02139d6ed75ae/lpr_engine.py#L773-L779" TargetMode="External"/><Relationship Id="rId21" Type="http://schemas.openxmlformats.org/officeDocument/2006/relationships/hyperlink" Target="https://github.com/angweij1431/EIU_YOLO_PaddleOCR_Licenseplatedetection/blob/6d6aaa3c51516d7d5f58551159d02139d6ed75ae/lpr_engine.py#L546-L552" TargetMode="External"/><Relationship Id="rId22" Type="http://schemas.openxmlformats.org/officeDocument/2006/relationships/hyperlink" Target="https://github.com/angweij1431/EIU_YOLO_PaddleOCR_Licenseplatedetection/blob/6d6aaa3c51516d7d5f58551159d02139d6ed75ae/lpr_engine.py#L726-L732" TargetMode="External"/><Relationship Id="rId23" Type="http://schemas.openxmlformats.org/officeDocument/2006/relationships/hyperlink" Target="https://github.com/angweij1431/EIU_YOLO_PaddleOCR_Licenseplatedetection/blob/6d6aaa3c51516d7d5f58551159d02139d6ed75ae/main.py#L36-L45" TargetMode="External"/><Relationship Id="rId24" Type="http://schemas.openxmlformats.org/officeDocument/2006/relationships/hyperlink" Target="https://github.com/angweij1431/EIU_YOLO_PaddleOCR_Licenseplatedetection/blob/6d6aaa3c51516d7d5f58551159d02139d6ed75ae/main.py#L188-L211" TargetMode="External"/><Relationship Id="rId25" Type="http://schemas.openxmlformats.org/officeDocument/2006/relationships/hyperlink" Target="https://github.com/angweij1431/EIU_YOLO_PaddleOCR_Licenseplatedetection/blob/6d6aaa3c51516d7d5f58551159d02139d6ed75ae/lpr_core/validator.py#L7-L35" TargetMode="External"/><Relationship Id="rId26" Type="http://schemas.openxmlformats.org/officeDocument/2006/relationships/hyperlink" Target="https://github.com/angweij1431/EIU_YOLO_PaddleOCR_Licenseplatedetection/blob/6d6aaa3c51516d7d5f58551159d02139d6ed75ae/main.py#L146-L154" TargetMode="External"/><Relationship Id="rId27" Type="http://schemas.openxmlformats.org/officeDocument/2006/relationships/hyperlink" Target="https://github.com/angweij1431/EIU_YOLO_PaddleOCR_Licenseplatedetection/blob/6d6aaa3c51516d7d5f58551159d02139d6ed75ae/lpr_engine.py#L654-L656" TargetMode="External"/><Relationship Id="rId28" Type="http://schemas.openxmlformats.org/officeDocument/2006/relationships/hyperlink" Target="https://github.com/angweij1431/EIU_YOLO_PaddleOCR_Licenseplatedetection/blob/6d6aaa3c51516d7d5f58551159d02139d6ed75ae/lpr_core/validator.py#L104-L112" TargetMode="External"/><Relationship Id="rId29" Type="http://schemas.openxmlformats.org/officeDocument/2006/relationships/hyperlink" Target="https://github.com/angweij1431/EIU_YOLO_PaddleOCR_Licenseplatedetection/blob/6d6aaa3c51516d7d5f58551159d02139d6ed75ae/infer.py#L124-L124" TargetMode="External"/><Relationship Id="rId30" Type="http://schemas.openxmlformats.org/officeDocument/2006/relationships/hyperlink" Target="https://github.com/angweij1431/EIU_YOLO_PaddleOCR_Licenseplatedetection/blob/6d6aaa3c51516d7d5f58551159d02139d6ed75ae/benchmarks/run_benchmarks.py#L61-L61" TargetMode="External"/><Relationship Id="rId31" Type="http://schemas.openxmlformats.org/officeDocument/2006/relationships/hyperlink" Target="https://github.com/angweij1431/EIU_YOLO_PaddleOCR_Licenseplatedetection/blob/6d6aaa3c51516d7d5f58551159d02139d6ed75ae/main.py#L27-L27" TargetMode="External"/><Relationship Id="rId32" Type="http://schemas.openxmlformats.org/officeDocument/2006/relationships/hyperlink" Target="https://github.com/angweij1431/EIU_YOLO_PaddleOCR_Licenseplatedetection/blob/6d6aaa3c51516d7d5f58551159d02139d6ed75ae/lpr_engine.py#L798-L806" TargetMode="External"/><Relationship Id="rId33" Type="http://schemas.openxmlformats.org/officeDocument/2006/relationships/hyperlink" Target="https://github.com/angweij1431/EIU_YOLO_PaddleOCR_Licenseplatedetection/blob/6d6aaa3c51516d7d5f58551159d02139d6ed75ae/main.py#L204-L204" TargetMode="External"/><Relationship Id="rId34" Type="http://schemas.openxmlformats.org/officeDocument/2006/relationships/hyperlink" Target="https://github.com/angweij1431/EIU_YOLO_PaddleOCR_Licenseplatedetection/blob/6d6aaa3c51516d7d5f58551159d02139d6ed75ae/lpr_engine.py#L78-L89" TargetMode="External"/><Relationship Id="rId35" Type="http://schemas.openxmlformats.org/officeDocument/2006/relationships/hyperlink" Target="https://github.com/angweij1431/EIU_YOLO_PaddleOCR_Licenseplatedetection/blob/6d6aaa3c51516d7d5f58551159d02139d6ed75ae/requirements.txt#L2-L12" TargetMode="External"/><Relationship Id="rId36" Type="http://schemas.openxmlformats.org/officeDocument/2006/relationships/hyperlink" Target="https://github.com/angweij1431/EIU_YOLO_PaddleOCR_Licenseplatedetection/blob/6d6aaa3c51516d7d5f58551159d02139d6ed75ae/lpr_engine.py#L507-L517" TargetMode="External"/><Relationship Id="rId37" Type="http://schemas.openxmlformats.org/officeDocument/2006/relationships/hyperlink" Target="https://github.com/angweij1431/EIU_YOLO_PaddleOCR_Licenseplatedetection/blob/6d6aaa3c51516d7d5f58551159d02139d6ed75ae/lpr_engine.py#L855-L889" TargetMode="External"/><Relationship Id="rId38" Type="http://schemas.openxmlformats.org/officeDocument/2006/relationships/hyperlink" Target="https://github.com/angweij1431/EIU_YOLO_PaddleOCR_Licenseplatedetection/blob/6d6aaa3c51516d7d5f58551159d02139d6ed75ae/main.py#L25-L29" TargetMode="External"/><Relationship Id="rId39" Type="http://schemas.openxmlformats.org/officeDocument/2006/relationships/hyperlink" Target="https://github.com/angweij1431/EIU_YOLO_PaddleOCR_Licenseplatedetection/blob/6d6aaa3c51516d7d5f58551159d02139d6ed75ae/lpr_engine.py#L565-L578" TargetMode="External"/><Relationship Id="rId40" Type="http://schemas.openxmlformats.org/officeDocument/2006/relationships/hyperlink" Target="https://github.com/angweij1431/EIU_YOLO_PaddleOCR_Licenseplatedetection/blob/6d6aaa3c51516d7d5f58551159d02139d6ed75ae/benchmarks/BENCHMARK_SUMMARY.md#L28-L30" TargetMode="External"/><Relationship Id="rId41" Type="http://schemas.openxmlformats.org/officeDocument/2006/relationships/hyperlink" Target="https://github.com/angweij1431/EIU_YOLO_PaddleOCR_Licenseplatedetection/blob/6d6aaa3c51516d7d5f58551159d02139d6ed75ae/benchmarks/BENCHMARK_SUMMARY.md#L963-L975" TargetMode="External"/><Relationship Id="rId42" Type="http://schemas.openxmlformats.org/officeDocument/2006/relationships/hyperlink" Target="https://github.com/angweij1431/EIU_YOLO_PaddleOCR_Licenseplatedetection/blob/6d6aaa3c51516d7d5f58551159d02139d6ed75ae/lpr_engine.py#L859-L877" TargetMode="External"/><Relationship Id="rId43" Type="http://schemas.openxmlformats.org/officeDocument/2006/relationships/hyperlink" Target="https://github.com/angweij1431/EIU_YOLO_PaddleOCR_Licenseplatedetection/blob/6d6aaa3c51516d7d5f58551159d02139d6ed75ae/benchmarks/run_benchmarks.py#L78-L85" TargetMode="External"/><Relationship Id="rId44" Type="http://schemas.openxmlformats.org/officeDocument/2006/relationships/hyperlink" Target="https://github.com/angweij1431/EIU_YOLO_PaddleOCR_Licenseplatedetection/blob/6d6aaa3c51516d7d5f58551159d02139d6ed75ae/benchmarks/run_benchmarks.py#L95-L106" TargetMode="External"/><Relationship Id="rId45" Type="http://schemas.openxmlformats.org/officeDocument/2006/relationships/hyperlink" Target="https://github.com/angweij1431/EIU_YOLO_PaddleOCR_Licenseplatedetection/blob/6d6aaa3c51516d7d5f58551159d02139d6ed75ae/benchmarks/BENCHMARK_SUMMARY.md#L3-L4" TargetMode="External"/><Relationship Id="rId46" Type="http://schemas.openxmlformats.org/officeDocument/2006/relationships/hyperlink" Target="https://github.com/angweij1431/EIU_YOLO_PaddleOCR_Licenseplatedetection/blob/6d6aaa3c51516d7d5f58551159d02139d6ed75ae/benchmarks/BENCHMARK_SUMMARY.md#L969-L980" TargetMode="External"/><Relationship Id="rId47" Type="http://schemas.openxmlformats.org/officeDocument/2006/relationships/hyperlink" Target="https://github.com/angweij1431/EIU_YOLO_PaddleOCR_Licenseplatedetection/blob/6d6aaa3c51516d7d5f58551159d02139d6ed75ae/requirements.txt#L2-L7" TargetMode="External"/><Relationship Id="rId48" Type="http://schemas.openxmlformats.org/officeDocument/2006/relationships/hyperlink" Target="https://github.com/angweij1431/EIU_YOLO_PaddleOCR_Licenseplatedetection/blob/6d6aaa3c51516d7d5f58551159d02139d6ed75ae/lpr_engine.py#L81-L89" TargetMode="External"/><Relationship Id="rId49" Type="http://schemas.openxmlformats.org/officeDocument/2006/relationships/hyperlink" Target="https://www.ultralytics.com/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requirements: packaging the LPR model for the Edge vision worker</dc:title>
  <dc:subject>Delivery contract for the AI team and CerberusEdge integration</dc:subject>
  <dc:creator>Smart Parking backend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