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Історія створення і розвитку компанії.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  <w:r w:rsidRPr="00D7084E">
        <w:t>https://en.wikipedia.org/wiki/Workday,_Inc.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Workday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2005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2006.[7]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Duffield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venture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Greylock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2008,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Walnut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, </w:t>
      </w:r>
      <w:proofErr w:type="spellStart"/>
      <w:r>
        <w:t>California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Pleasanton</w:t>
      </w:r>
      <w:proofErr w:type="spellEnd"/>
      <w:r>
        <w:t xml:space="preserve">, </w:t>
      </w:r>
      <w:proofErr w:type="spellStart"/>
      <w:r>
        <w:t>California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PeopleSoft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</w:t>
      </w:r>
      <w:proofErr w:type="spellStart"/>
      <w:r>
        <w:t>Duffield's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.[8][9]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 6, 2008,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.[10]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2008,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Flextronics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.[11]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multinational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disclosed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Aviva</w:t>
      </w:r>
      <w:proofErr w:type="spellEnd"/>
      <w:r>
        <w:t xml:space="preserve">,[12] </w:t>
      </w:r>
      <w:proofErr w:type="spellStart"/>
      <w:r>
        <w:t>Chiquita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,[13] CAE </w:t>
      </w:r>
      <w:proofErr w:type="spellStart"/>
      <w:r>
        <w:t>Inc</w:t>
      </w:r>
      <w:proofErr w:type="spellEnd"/>
      <w:r>
        <w:t xml:space="preserve">., </w:t>
      </w:r>
      <w:proofErr w:type="spellStart"/>
      <w:r>
        <w:t>Fairchild</w:t>
      </w:r>
      <w:proofErr w:type="spellEnd"/>
      <w:r>
        <w:t xml:space="preserve"> </w:t>
      </w:r>
      <w:proofErr w:type="spellStart"/>
      <w:r>
        <w:t>Semiconductor</w:t>
      </w:r>
      <w:proofErr w:type="spellEnd"/>
      <w:r>
        <w:t xml:space="preserve">,[14] </w:t>
      </w:r>
      <w:proofErr w:type="spellStart"/>
      <w:r>
        <w:t>Rentokil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,[15] </w:t>
      </w:r>
      <w:proofErr w:type="spellStart"/>
      <w:r>
        <w:t>Thomson</w:t>
      </w:r>
      <w:proofErr w:type="spellEnd"/>
      <w:r>
        <w:t xml:space="preserve"> </w:t>
      </w:r>
      <w:proofErr w:type="spellStart"/>
      <w:r>
        <w:t>Reuters</w:t>
      </w:r>
      <w:proofErr w:type="spellEnd"/>
      <w:r>
        <w:t xml:space="preserve">,[16]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Warner</w:t>
      </w:r>
      <w:proofErr w:type="spellEnd"/>
      <w:r>
        <w:t>.[17]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29, 2009,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$75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.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Greylock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 CEO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co‑founder</w:t>
      </w:r>
      <w:proofErr w:type="spellEnd"/>
      <w:r>
        <w:t xml:space="preserve"> </w:t>
      </w:r>
      <w:proofErr w:type="spellStart"/>
      <w:r>
        <w:t>Dave</w:t>
      </w:r>
      <w:proofErr w:type="spellEnd"/>
      <w:r>
        <w:t xml:space="preserve"> </w:t>
      </w:r>
      <w:proofErr w:type="spellStart"/>
      <w:r>
        <w:t>Duffield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participated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.[18] </w:t>
      </w:r>
      <w:proofErr w:type="spellStart"/>
      <w:r>
        <w:t>On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24, 2011,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$85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$250 </w:t>
      </w:r>
      <w:proofErr w:type="spellStart"/>
      <w:r>
        <w:t>million</w:t>
      </w:r>
      <w:proofErr w:type="spellEnd"/>
      <w:r>
        <w:t xml:space="preserve">.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T. </w:t>
      </w:r>
      <w:proofErr w:type="spellStart"/>
      <w:r>
        <w:t>Rowe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Stanley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Janus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Bezos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CEO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</w:t>
      </w:r>
      <w:proofErr w:type="spellStart"/>
      <w:r>
        <w:t>Jeff</w:t>
      </w:r>
      <w:proofErr w:type="spellEnd"/>
      <w:r>
        <w:t xml:space="preserve"> </w:t>
      </w:r>
      <w:proofErr w:type="spellStart"/>
      <w:r>
        <w:t>Bezos</w:t>
      </w:r>
      <w:proofErr w:type="spellEnd"/>
      <w:r>
        <w:t xml:space="preserve">.[19]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2012,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310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mid-sized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500 </w:t>
      </w:r>
      <w:proofErr w:type="spellStart"/>
      <w:r>
        <w:t>companies</w:t>
      </w:r>
      <w:proofErr w:type="spellEnd"/>
      <w:r>
        <w:t>.[20]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2012,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(IPO)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Exchange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WDAY.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priced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$28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October</w:t>
      </w:r>
      <w:proofErr w:type="spellEnd"/>
      <w:r>
        <w:t xml:space="preserve"> 12, </w:t>
      </w:r>
      <w:proofErr w:type="spellStart"/>
      <w:r>
        <w:t>at</w:t>
      </w:r>
      <w:proofErr w:type="spellEnd"/>
      <w:r>
        <w:t xml:space="preserve"> $48.69, "</w:t>
      </w:r>
      <w:proofErr w:type="spellStart"/>
      <w:r>
        <w:t>propelled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start-up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capitalization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$9.5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unexercised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."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22.75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shares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$637 </w:t>
      </w:r>
      <w:proofErr w:type="spellStart"/>
      <w:r>
        <w:t>million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IPO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Facebook's</w:t>
      </w:r>
      <w:proofErr w:type="spellEnd"/>
      <w:r>
        <w:t xml:space="preserve"> $16 </w:t>
      </w:r>
      <w:proofErr w:type="spellStart"/>
      <w:r>
        <w:t>billion</w:t>
      </w:r>
      <w:proofErr w:type="spellEnd"/>
      <w:r>
        <w:t xml:space="preserve"> IPO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2012.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74%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IPO, </w:t>
      </w:r>
      <w:proofErr w:type="spellStart"/>
      <w:r>
        <w:t>underscoring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.[4]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In</w:t>
      </w:r>
      <w:proofErr w:type="spellEnd"/>
      <w:r>
        <w:t xml:space="preserve"> 2018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Doušek's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Stories.bi.</w:t>
      </w:r>
    </w:p>
    <w:p w:rsidR="00D7084E" w:rsidRDefault="00D7084E" w:rsidP="00D7084E">
      <w:pPr>
        <w:pStyle w:val="ListParagraph"/>
        <w:spacing w:line="273" w:lineRule="auto"/>
        <w:ind w:left="720"/>
        <w:jc w:val="both"/>
      </w:pPr>
    </w:p>
    <w:p w:rsidR="00D7084E" w:rsidRDefault="00D7084E" w:rsidP="00D7084E">
      <w:pPr>
        <w:pStyle w:val="ListParagraph"/>
        <w:spacing w:line="273" w:lineRule="auto"/>
        <w:ind w:left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-CEO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Aneel</w:t>
      </w:r>
      <w:proofErr w:type="spellEnd"/>
      <w:r>
        <w:t xml:space="preserve"> </w:t>
      </w:r>
      <w:proofErr w:type="spellStart"/>
      <w:r>
        <w:t>Bhusri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Greylock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PeopleSoft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2020, </w:t>
      </w:r>
      <w:proofErr w:type="spellStart"/>
      <w:r>
        <w:t>Chano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-CEO. </w:t>
      </w:r>
      <w:proofErr w:type="spellStart"/>
      <w:r>
        <w:t>Dave</w:t>
      </w:r>
      <w:proofErr w:type="spellEnd"/>
      <w:r>
        <w:t xml:space="preserve"> </w:t>
      </w:r>
      <w:proofErr w:type="spellStart"/>
      <w:r>
        <w:t>Duffield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Chairman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Які нові продукти та послуги запропонувала компанія.</w:t>
      </w:r>
    </w:p>
    <w:p w:rsidR="000F4FC6" w:rsidRDefault="000F4FC6" w:rsidP="000F4FC6">
      <w:pPr>
        <w:pStyle w:val="ListParagraph"/>
        <w:spacing w:line="273" w:lineRule="auto"/>
        <w:ind w:left="720"/>
        <w:jc w:val="both"/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Workday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американский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поставщик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обеспечения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"https://en.wikipedia.org/wiki/Managerial_finance" \o "Managerial finance"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управления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финансами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"https://en.wikipedia.org/wiki/Human_resource_management_systems" \o "Human resource management systems"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человеческим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капиталом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по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запросу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(на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"https://en.wikipedia.org/wiki/Cloud_computing" \o "Облачные вычисления"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облачных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вычислений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) .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Workday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была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основана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"https://en.wikipedia.org/wiki/David_Duffield" \o "David Duffield"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Дэвидом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Даффилдом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основателем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бывшим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генеральным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директором </w:t>
      </w:r>
      <w:hyperlink r:id="rId5" w:tooltip="Enterprise resource planning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ERP-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компании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"https://en.wikipedia.org/wiki/PeopleSoft" \o "PeopleSoft"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PeopleSoft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,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бывшим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главным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стратегом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PeopleSoft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"https://en.wikipedia.org/wiki/Aneel_Bhusri" \o "Aneel Bhusri"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Анилом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Бхусри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враждебного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"https://en.wikipedia.org/wiki/Takeover" \o ""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поглощения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PeopleSoft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"https://en.wikipedia.org/wiki/Oracle_Corporation" \o "Oracle Corporation" </w:instrTex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2005 году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Новий вид бізнесу, що запропонувала компанія (якщо є).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Нові способи взаємодії зі  споживачем.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Нові технології у виробництві, веденні, організації та плануванні бізнесу.</w:t>
      </w:r>
    </w:p>
    <w:p w:rsidR="000F4FC6" w:rsidRDefault="000F4FC6" w:rsidP="000F4FC6">
      <w:pPr>
        <w:pStyle w:val="ListParagraph"/>
        <w:spacing w:line="273" w:lineRule="auto"/>
        <w:ind w:left="720"/>
        <w:jc w:val="both"/>
      </w:pPr>
      <w:proofErr w:type="spellStart"/>
      <w:r>
        <w:t>Workday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subscriptions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.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lastRenderedPageBreak/>
        <w:t>revenue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multiyear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2016,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fiscal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2016.[21]</w:t>
      </w:r>
    </w:p>
    <w:p w:rsidR="000F4FC6" w:rsidRDefault="000F4FC6" w:rsidP="000F4FC6">
      <w:pPr>
        <w:pStyle w:val="ListParagraph"/>
        <w:spacing w:line="273" w:lineRule="auto"/>
        <w:ind w:left="720"/>
        <w:jc w:val="both"/>
      </w:pPr>
    </w:p>
    <w:p w:rsidR="000F4FC6" w:rsidRDefault="000F4FC6" w:rsidP="000F4FC6">
      <w:pPr>
        <w:pStyle w:val="ListParagraph"/>
        <w:spacing w:line="273" w:lineRule="auto"/>
        <w:ind w:left="720"/>
        <w:jc w:val="both"/>
      </w:pPr>
      <w:proofErr w:type="spellStart"/>
      <w:r>
        <w:t>Corporate</w:t>
      </w:r>
      <w:proofErr w:type="spellEnd"/>
      <w:r>
        <w:t xml:space="preserve"> </w:t>
      </w:r>
      <w:proofErr w:type="spellStart"/>
      <w:r>
        <w:t>governance</w:t>
      </w:r>
      <w:proofErr w:type="spellEnd"/>
    </w:p>
    <w:p w:rsidR="000F4FC6" w:rsidRDefault="000F4FC6" w:rsidP="000F4FC6">
      <w:pPr>
        <w:pStyle w:val="ListParagraph"/>
        <w:spacing w:line="273" w:lineRule="auto"/>
        <w:ind w:left="720"/>
        <w:jc w:val="both"/>
      </w:pPr>
      <w:proofErr w:type="spellStart"/>
      <w:r>
        <w:t>Duffield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$3.4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Bhusri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$1.3 </w:t>
      </w:r>
      <w:proofErr w:type="spellStart"/>
      <w:r>
        <w:t>billion</w:t>
      </w:r>
      <w:proofErr w:type="spellEnd"/>
      <w:r>
        <w:t xml:space="preserve">. </w:t>
      </w:r>
      <w:proofErr w:type="spellStart"/>
      <w:r>
        <w:t>Collectively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67%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hostile</w:t>
      </w:r>
      <w:proofErr w:type="spellEnd"/>
      <w:r>
        <w:t xml:space="preserve"> </w:t>
      </w:r>
      <w:proofErr w:type="spellStart"/>
      <w:r>
        <w:t>takeover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likely</w:t>
      </w:r>
      <w:proofErr w:type="spellEnd"/>
      <w:r>
        <w:t>.[4]</w:t>
      </w:r>
      <w:bookmarkStart w:id="0" w:name="_GoBack"/>
      <w:bookmarkEnd w:id="0"/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Основні показники діяльності компанії.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Висновки: що досвіду з цієї компанії можна використати для розвитку підприємництва в Україні?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Список використаних джерел.</w:t>
      </w:r>
    </w:p>
    <w:p w:rsidR="00DC5A1C" w:rsidRDefault="00DC5A1C" w:rsidP="00DC5A1C">
      <w:pPr>
        <w:pStyle w:val="ListParagraph"/>
        <w:spacing w:line="273" w:lineRule="auto"/>
        <w:jc w:val="both"/>
      </w:pPr>
      <w:r>
        <w:t xml:space="preserve"> </w:t>
      </w:r>
    </w:p>
    <w:p w:rsidR="00DC5A1C" w:rsidRDefault="00DC5A1C" w:rsidP="00DC5A1C">
      <w:pPr>
        <w:pStyle w:val="ListParagraph"/>
        <w:spacing w:line="273" w:lineRule="auto"/>
        <w:jc w:val="both"/>
      </w:pPr>
      <w:r>
        <w:t>Також разом з доповіддю здати:</w:t>
      </w:r>
    </w:p>
    <w:p w:rsidR="00DC5A1C" w:rsidRDefault="00DC5A1C" w:rsidP="00DC5A1C">
      <w:pPr>
        <w:pStyle w:val="ListParagraph"/>
        <w:spacing w:line="273" w:lineRule="auto"/>
        <w:jc w:val="both"/>
      </w:pPr>
      <w:r>
        <w:t xml:space="preserve"> 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>Презентацію – 10-15 слайдів.</w:t>
      </w:r>
    </w:p>
    <w:p w:rsidR="00DC5A1C" w:rsidRDefault="00DC5A1C" w:rsidP="00DC5A1C">
      <w:pPr>
        <w:pStyle w:val="ListParagraph"/>
        <w:numPr>
          <w:ilvl w:val="0"/>
          <w:numId w:val="1"/>
        </w:numPr>
        <w:spacing w:line="273" w:lineRule="auto"/>
        <w:jc w:val="both"/>
      </w:pPr>
      <w:r>
        <w:t xml:space="preserve">Текст доповіді 10-15 </w:t>
      </w:r>
      <w:proofErr w:type="spellStart"/>
      <w:r>
        <w:t>стор</w:t>
      </w:r>
      <w:proofErr w:type="spellEnd"/>
      <w:r>
        <w:t xml:space="preserve">. А4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14, оформлену згідно вимог реферату.</w:t>
      </w:r>
    </w:p>
    <w:p w:rsidR="009250F2" w:rsidRDefault="009250F2"/>
    <w:sectPr w:rsidR="00925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6966"/>
    <w:multiLevelType w:val="multilevel"/>
    <w:tmpl w:val="86F4C8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C"/>
    <w:rsid w:val="000F4FC6"/>
    <w:rsid w:val="007504B3"/>
    <w:rsid w:val="009250F2"/>
    <w:rsid w:val="00D7084E"/>
    <w:rsid w:val="00DC5A1C"/>
    <w:rsid w:val="00E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BA9E"/>
  <w15:chartTrackingRefBased/>
  <w15:docId w15:val="{97CACCD9-50A3-41D2-BEE1-9CD9CEBA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DC5A1C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0F4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796">
                  <w:marLeft w:val="0"/>
                  <w:marRight w:val="0"/>
                  <w:marTop w:val="0"/>
                  <w:marBottom w:val="12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364">
                  <w:marLeft w:val="0"/>
                  <w:marRight w:val="0"/>
                  <w:marTop w:val="0"/>
                  <w:marBottom w:val="12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791">
                  <w:marLeft w:val="0"/>
                  <w:marRight w:val="0"/>
                  <w:marTop w:val="0"/>
                  <w:marBottom w:val="12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677">
                  <w:marLeft w:val="0"/>
                  <w:marRight w:val="0"/>
                  <w:marTop w:val="0"/>
                  <w:marBottom w:val="12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7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4136">
          <w:marLeft w:val="0"/>
          <w:marRight w:val="0"/>
          <w:marTop w:val="0"/>
          <w:marBottom w:val="2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706">
              <w:marLeft w:val="0"/>
              <w:marRight w:val="0"/>
              <w:marTop w:val="0"/>
              <w:marBottom w:val="1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526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7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07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3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2088">
          <w:marLeft w:val="0"/>
          <w:marRight w:val="0"/>
          <w:marTop w:val="3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4718">
              <w:marLeft w:val="0"/>
              <w:marRight w:val="0"/>
              <w:marTop w:val="0"/>
              <w:marBottom w:val="1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terprise_resource_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1</cp:revision>
  <dcterms:created xsi:type="dcterms:W3CDTF">2021-02-07T14:07:00Z</dcterms:created>
  <dcterms:modified xsi:type="dcterms:W3CDTF">2021-02-08T21:31:00Z</dcterms:modified>
</cp:coreProperties>
</file>