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290B7" w14:textId="77777777" w:rsidR="0083589E" w:rsidRPr="00A61619" w:rsidRDefault="0083589E" w:rsidP="00A6161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61619">
        <w:rPr>
          <w:rFonts w:ascii="Times New Roman" w:hAnsi="Times New Roman" w:cs="Times New Roman"/>
          <w:b/>
          <w:bCs/>
          <w:sz w:val="22"/>
          <w:szCs w:val="22"/>
        </w:rPr>
        <w:t>PHẦN 1: HỢP ĐỒNG CUNG CẤP DỊCH VỤ SÀN GIAO DỊCH THƯƠG MẠI ĐIỆN TỬ</w:t>
      </w:r>
    </w:p>
    <w:p w14:paraId="6053F491" w14:textId="58A9CD06" w:rsidR="00196616" w:rsidRPr="00A61619" w:rsidRDefault="00196616" w:rsidP="00196616">
      <w:pP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A61619">
        <w:rPr>
          <w:rFonts w:ascii="Times New Roman" w:hAnsi="Times New Roman" w:cs="Times New Roman"/>
          <w:b/>
          <w:bCs/>
          <w:sz w:val="22"/>
          <w:szCs w:val="22"/>
        </w:rPr>
        <w:t>CỘNG HÒA XÃ HỘI CHỦ NGHĨA VIỆT NAM</w:t>
      </w:r>
    </w:p>
    <w:p w14:paraId="66021A6F" w14:textId="3DD99C74" w:rsidR="00196616" w:rsidRPr="00A61619" w:rsidRDefault="00196616" w:rsidP="00196616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61619">
        <w:rPr>
          <w:rFonts w:ascii="Times New Roman" w:hAnsi="Times New Roman" w:cs="Times New Roman"/>
          <w:b/>
          <w:bCs/>
          <w:sz w:val="20"/>
          <w:szCs w:val="20"/>
        </w:rPr>
        <w:t>Độc</w:t>
      </w:r>
      <w:proofErr w:type="spellEnd"/>
      <w:r w:rsidRPr="00A6161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61619">
        <w:rPr>
          <w:rFonts w:ascii="Times New Roman" w:hAnsi="Times New Roman" w:cs="Times New Roman"/>
          <w:b/>
          <w:bCs/>
          <w:sz w:val="20"/>
          <w:szCs w:val="20"/>
        </w:rPr>
        <w:t>lập</w:t>
      </w:r>
      <w:proofErr w:type="spellEnd"/>
      <w:r w:rsidRPr="00A61619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proofErr w:type="spellStart"/>
      <w:r w:rsidRPr="00A61619">
        <w:rPr>
          <w:rFonts w:ascii="Times New Roman" w:hAnsi="Times New Roman" w:cs="Times New Roman"/>
          <w:b/>
          <w:bCs/>
          <w:sz w:val="20"/>
          <w:szCs w:val="20"/>
        </w:rPr>
        <w:t>Tự</w:t>
      </w:r>
      <w:proofErr w:type="spellEnd"/>
      <w:r w:rsidRPr="00A61619">
        <w:rPr>
          <w:rFonts w:ascii="Times New Roman" w:hAnsi="Times New Roman" w:cs="Times New Roman"/>
          <w:b/>
          <w:bCs/>
          <w:sz w:val="20"/>
          <w:szCs w:val="20"/>
        </w:rPr>
        <w:t xml:space="preserve"> do - </w:t>
      </w:r>
      <w:proofErr w:type="spellStart"/>
      <w:r w:rsidRPr="00A61619">
        <w:rPr>
          <w:rFonts w:ascii="Times New Roman" w:hAnsi="Times New Roman" w:cs="Times New Roman"/>
          <w:b/>
          <w:bCs/>
          <w:sz w:val="20"/>
          <w:szCs w:val="20"/>
        </w:rPr>
        <w:t>Hạnh</w:t>
      </w:r>
      <w:proofErr w:type="spellEnd"/>
      <w:r w:rsidRPr="00A6161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61619">
        <w:rPr>
          <w:rFonts w:ascii="Times New Roman" w:hAnsi="Times New Roman" w:cs="Times New Roman"/>
          <w:b/>
          <w:bCs/>
          <w:sz w:val="20"/>
          <w:szCs w:val="20"/>
        </w:rPr>
        <w:t>phúc</w:t>
      </w:r>
      <w:proofErr w:type="spellEnd"/>
    </w:p>
    <w:p w14:paraId="79BCF368" w14:textId="69B7A584" w:rsidR="00196616" w:rsidRPr="00A61619" w:rsidRDefault="00196616" w:rsidP="00196616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A61619">
        <w:rPr>
          <w:rFonts w:ascii="Times New Roman" w:hAnsi="Times New Roman" w:cs="Times New Roman"/>
          <w:b/>
          <w:bCs/>
          <w:sz w:val="20"/>
          <w:szCs w:val="20"/>
        </w:rPr>
        <w:t>Số</w:t>
      </w:r>
      <w:proofErr w:type="spellEnd"/>
      <w:r w:rsidRPr="00A6161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61619">
        <w:rPr>
          <w:rFonts w:ascii="Times New Roman" w:hAnsi="Times New Roman" w:cs="Times New Roman"/>
          <w:b/>
          <w:bCs/>
          <w:sz w:val="20"/>
          <w:szCs w:val="20"/>
        </w:rPr>
        <w:t>Hợp</w:t>
      </w:r>
      <w:proofErr w:type="spellEnd"/>
      <w:r w:rsidRPr="00A6161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61619">
        <w:rPr>
          <w:rFonts w:ascii="Times New Roman" w:hAnsi="Times New Roman" w:cs="Times New Roman"/>
          <w:b/>
          <w:bCs/>
          <w:sz w:val="20"/>
          <w:szCs w:val="20"/>
        </w:rPr>
        <w:t>Đồng</w:t>
      </w:r>
      <w:proofErr w:type="spellEnd"/>
      <w:r w:rsidRPr="00A61619">
        <w:rPr>
          <w:rFonts w:ascii="Times New Roman" w:hAnsi="Times New Roman" w:cs="Times New Roman"/>
          <w:b/>
          <w:bCs/>
          <w:sz w:val="20"/>
          <w:szCs w:val="20"/>
        </w:rPr>
        <w:t>: MMO-</w:t>
      </w:r>
      <w:proofErr w:type="spellStart"/>
      <w:r w:rsidR="00D8456C" w:rsidRPr="00A61619">
        <w:rPr>
          <w:rFonts w:ascii="Times New Roman" w:hAnsi="Times New Roman" w:cs="Times New Roman"/>
          <w:b/>
          <w:bCs/>
          <w:sz w:val="20"/>
          <w:szCs w:val="20"/>
        </w:rPr>
        <w:t>yyyymmdd</w:t>
      </w:r>
      <w:proofErr w:type="spellEnd"/>
      <w:r w:rsidRPr="00A61619">
        <w:rPr>
          <w:rFonts w:ascii="Times New Roman" w:hAnsi="Times New Roman" w:cs="Times New Roman"/>
          <w:b/>
          <w:bCs/>
          <w:sz w:val="20"/>
          <w:szCs w:val="20"/>
        </w:rPr>
        <w:t>-</w:t>
      </w:r>
      <w:proofErr w:type="spellStart"/>
      <w:r w:rsidR="00D8456C" w:rsidRPr="00A61619">
        <w:rPr>
          <w:rFonts w:ascii="Times New Roman" w:hAnsi="Times New Roman" w:cs="Times New Roman"/>
          <w:b/>
          <w:bCs/>
          <w:sz w:val="20"/>
          <w:szCs w:val="20"/>
        </w:rPr>
        <w:t>xxxx</w:t>
      </w:r>
      <w:proofErr w:type="spellEnd"/>
    </w:p>
    <w:p w14:paraId="60D2C9E0" w14:textId="60B7FC11" w:rsidR="00196616" w:rsidRPr="00A61619" w:rsidRDefault="00196616" w:rsidP="00196616">
      <w:pPr>
        <w:spacing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61619">
        <w:rPr>
          <w:rFonts w:ascii="Times New Roman" w:hAnsi="Times New Roman" w:cs="Times New Roman"/>
          <w:i/>
          <w:iCs/>
          <w:sz w:val="20"/>
          <w:szCs w:val="20"/>
        </w:rPr>
        <w:t xml:space="preserve">…, </w:t>
      </w:r>
      <w:proofErr w:type="spellStart"/>
      <w:r w:rsidRPr="00A61619">
        <w:rPr>
          <w:rFonts w:ascii="Times New Roman" w:hAnsi="Times New Roman" w:cs="Times New Roman"/>
          <w:i/>
          <w:iCs/>
          <w:sz w:val="20"/>
          <w:szCs w:val="20"/>
        </w:rPr>
        <w:t>ngày</w:t>
      </w:r>
      <w:proofErr w:type="spellEnd"/>
      <w:r w:rsidRPr="00A61619">
        <w:rPr>
          <w:rFonts w:ascii="Times New Roman" w:hAnsi="Times New Roman" w:cs="Times New Roman"/>
          <w:i/>
          <w:iCs/>
          <w:sz w:val="20"/>
          <w:szCs w:val="20"/>
        </w:rPr>
        <w:t>…</w:t>
      </w:r>
      <w:proofErr w:type="spellStart"/>
      <w:r w:rsidRPr="00A61619">
        <w:rPr>
          <w:rFonts w:ascii="Times New Roman" w:hAnsi="Times New Roman" w:cs="Times New Roman"/>
          <w:i/>
          <w:iCs/>
          <w:sz w:val="20"/>
          <w:szCs w:val="20"/>
        </w:rPr>
        <w:t>tháng</w:t>
      </w:r>
      <w:proofErr w:type="spellEnd"/>
      <w:r w:rsidRPr="00A61619">
        <w:rPr>
          <w:rFonts w:ascii="Times New Roman" w:hAnsi="Times New Roman" w:cs="Times New Roman"/>
          <w:i/>
          <w:iCs/>
          <w:sz w:val="20"/>
          <w:szCs w:val="20"/>
        </w:rPr>
        <w:t>…</w:t>
      </w:r>
      <w:proofErr w:type="spellStart"/>
      <w:r w:rsidRPr="00A61619">
        <w:rPr>
          <w:rFonts w:ascii="Times New Roman" w:hAnsi="Times New Roman" w:cs="Times New Roman"/>
          <w:i/>
          <w:iCs/>
          <w:sz w:val="20"/>
          <w:szCs w:val="20"/>
        </w:rPr>
        <w:t>năm</w:t>
      </w:r>
      <w:proofErr w:type="spellEnd"/>
      <w:r w:rsidRPr="00A61619">
        <w:rPr>
          <w:rFonts w:ascii="Times New Roman" w:hAnsi="Times New Roman" w:cs="Times New Roman"/>
          <w:i/>
          <w:iCs/>
          <w:sz w:val="20"/>
          <w:szCs w:val="20"/>
        </w:rPr>
        <w:t>….</w:t>
      </w:r>
    </w:p>
    <w:p w14:paraId="11978233" w14:textId="77777777" w:rsidR="00196616" w:rsidRPr="00A61619" w:rsidRDefault="00196616" w:rsidP="0019661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Cung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Cấp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Dịch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Vụ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(Sau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đây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gọi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“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A”):</w:t>
      </w:r>
    </w:p>
    <w:p w14:paraId="7C6AA09C" w14:textId="77777777" w:rsidR="00196616" w:rsidRPr="00A61619" w:rsidRDefault="00196616" w:rsidP="0019661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>BAN QUẢN TRỊ SÀN GIAO DỊCH TMĐT MMO MARKET</w:t>
      </w:r>
    </w:p>
    <w:p w14:paraId="21A088D2" w14:textId="77777777" w:rsidR="00196616" w:rsidRPr="00A61619" w:rsidRDefault="00196616" w:rsidP="00196616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A61619">
        <w:rPr>
          <w:rFonts w:ascii="Times New Roman" w:hAnsi="Times New Roman" w:cs="Times New Roman"/>
          <w:b/>
          <w:bCs/>
          <w:sz w:val="22"/>
          <w:szCs w:val="22"/>
        </w:rPr>
        <w:t>Đại</w:t>
      </w:r>
      <w:proofErr w:type="spellEnd"/>
      <w:r w:rsidRPr="00A6161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b/>
          <w:bCs/>
          <w:sz w:val="22"/>
          <w:szCs w:val="22"/>
        </w:rPr>
        <w:t>diện</w:t>
      </w:r>
      <w:proofErr w:type="spellEnd"/>
      <w:r w:rsidRPr="00A6161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b/>
          <w:bCs/>
          <w:sz w:val="22"/>
          <w:szCs w:val="22"/>
        </w:rPr>
        <w:t>bởi</w:t>
      </w:r>
      <w:proofErr w:type="spellEnd"/>
      <w:r w:rsidRPr="00A61619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A61619">
        <w:rPr>
          <w:rFonts w:ascii="Times New Roman" w:hAnsi="Times New Roman" w:cs="Times New Roman"/>
          <w:sz w:val="22"/>
          <w:szCs w:val="22"/>
        </w:rPr>
        <w:t xml:space="preserve"> [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đại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diện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]</w:t>
      </w:r>
    </w:p>
    <w:p w14:paraId="26AD956A" w14:textId="77777777" w:rsidR="00196616" w:rsidRPr="00A61619" w:rsidRDefault="00196616" w:rsidP="00196616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A61619">
        <w:rPr>
          <w:rFonts w:ascii="Times New Roman" w:hAnsi="Times New Roman" w:cs="Times New Roman"/>
          <w:b/>
          <w:bCs/>
          <w:sz w:val="22"/>
          <w:szCs w:val="22"/>
        </w:rPr>
        <w:t>Chức</w:t>
      </w:r>
      <w:proofErr w:type="spellEnd"/>
      <w:r w:rsidRPr="00A6161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b/>
          <w:bCs/>
          <w:sz w:val="22"/>
          <w:szCs w:val="22"/>
        </w:rPr>
        <w:t>vụ</w:t>
      </w:r>
      <w:proofErr w:type="spellEnd"/>
      <w:r w:rsidRPr="00A61619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A61619">
        <w:rPr>
          <w:rFonts w:ascii="Times New Roman" w:hAnsi="Times New Roman" w:cs="Times New Roman"/>
          <w:sz w:val="22"/>
          <w:szCs w:val="22"/>
        </w:rPr>
        <w:t xml:space="preserve"> [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Chức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vụ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]</w:t>
      </w:r>
    </w:p>
    <w:p w14:paraId="6C49D507" w14:textId="77777777" w:rsidR="00196616" w:rsidRPr="00A61619" w:rsidRDefault="00196616" w:rsidP="00196616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A61619">
        <w:rPr>
          <w:rFonts w:ascii="Times New Roman" w:hAnsi="Times New Roman" w:cs="Times New Roman"/>
          <w:b/>
          <w:bCs/>
          <w:sz w:val="22"/>
          <w:szCs w:val="22"/>
        </w:rPr>
        <w:t>Địa</w:t>
      </w:r>
      <w:proofErr w:type="spellEnd"/>
      <w:r w:rsidRPr="00A6161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b/>
          <w:bCs/>
          <w:sz w:val="22"/>
          <w:szCs w:val="22"/>
        </w:rPr>
        <w:t>chỉ</w:t>
      </w:r>
      <w:proofErr w:type="spellEnd"/>
      <w:r w:rsidRPr="00A61619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A61619">
        <w:rPr>
          <w:rFonts w:ascii="Times New Roman" w:hAnsi="Times New Roman" w:cs="Times New Roman"/>
          <w:sz w:val="22"/>
          <w:szCs w:val="22"/>
        </w:rPr>
        <w:t xml:space="preserve"> [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Địa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chỉ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công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ty]</w:t>
      </w:r>
    </w:p>
    <w:p w14:paraId="677E5F5B" w14:textId="77777777" w:rsidR="00196616" w:rsidRPr="00A61619" w:rsidRDefault="00196616" w:rsidP="00196616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b/>
          <w:bCs/>
          <w:sz w:val="22"/>
          <w:szCs w:val="22"/>
        </w:rPr>
        <w:t>Email:</w:t>
      </w:r>
      <w:r w:rsidRPr="00A61619">
        <w:rPr>
          <w:rFonts w:ascii="Times New Roman" w:hAnsi="Times New Roman" w:cs="Times New Roman"/>
          <w:sz w:val="22"/>
          <w:szCs w:val="22"/>
        </w:rPr>
        <w:t xml:space="preserve"> [Email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hỗ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trợ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Admin]</w:t>
      </w:r>
    </w:p>
    <w:p w14:paraId="761D22F6" w14:textId="77777777" w:rsidR="00196616" w:rsidRPr="00A61619" w:rsidRDefault="00196616" w:rsidP="0019661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Sử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Dụng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Dịch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Vụ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(Sau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đây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gọi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“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B”):</w:t>
      </w:r>
    </w:p>
    <w:p w14:paraId="56D32FB3" w14:textId="77777777" w:rsidR="00196616" w:rsidRPr="00A61619" w:rsidRDefault="00196616" w:rsidP="0019661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>NGƯỜI BÁN</w:t>
      </w:r>
    </w:p>
    <w:p w14:paraId="7ED9DB70" w14:textId="77777777" w:rsidR="00196616" w:rsidRPr="00A61619" w:rsidRDefault="00196616" w:rsidP="00196616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A61619">
        <w:rPr>
          <w:rFonts w:ascii="Times New Roman" w:hAnsi="Times New Roman" w:cs="Times New Roman"/>
          <w:b/>
          <w:bCs/>
          <w:sz w:val="22"/>
          <w:szCs w:val="22"/>
        </w:rPr>
        <w:t>Họ</w:t>
      </w:r>
      <w:proofErr w:type="spellEnd"/>
      <w:r w:rsidRPr="00A6161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b/>
          <w:bCs/>
          <w:sz w:val="22"/>
          <w:szCs w:val="22"/>
        </w:rPr>
        <w:t>và</w:t>
      </w:r>
      <w:proofErr w:type="spellEnd"/>
      <w:r w:rsidRPr="00A6161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b/>
          <w:bCs/>
          <w:sz w:val="22"/>
          <w:szCs w:val="22"/>
        </w:rPr>
        <w:t>tên</w:t>
      </w:r>
      <w:proofErr w:type="spellEnd"/>
      <w:r w:rsidRPr="00A61619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A61619">
        <w:rPr>
          <w:rFonts w:ascii="Times New Roman" w:hAnsi="Times New Roman" w:cs="Times New Roman"/>
          <w:b/>
          <w:bCs/>
          <w:sz w:val="22"/>
          <w:szCs w:val="22"/>
        </w:rPr>
        <w:t>Tên</w:t>
      </w:r>
      <w:proofErr w:type="spellEnd"/>
      <w:r w:rsidRPr="00A6161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b/>
          <w:bCs/>
          <w:sz w:val="22"/>
          <w:szCs w:val="22"/>
        </w:rPr>
        <w:t>tổ</w:t>
      </w:r>
      <w:proofErr w:type="spellEnd"/>
      <w:r w:rsidRPr="00A6161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b/>
          <w:bCs/>
          <w:sz w:val="22"/>
          <w:szCs w:val="22"/>
        </w:rPr>
        <w:t>chức</w:t>
      </w:r>
      <w:proofErr w:type="spellEnd"/>
      <w:r w:rsidRPr="00A61619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A61619">
        <w:rPr>
          <w:rFonts w:ascii="Times New Roman" w:hAnsi="Times New Roman" w:cs="Times New Roman"/>
          <w:sz w:val="22"/>
          <w:szCs w:val="22"/>
        </w:rPr>
        <w:t xml:space="preserve"> [Thông tin do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Bán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cung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cấp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đăng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ký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]</w:t>
      </w:r>
    </w:p>
    <w:p w14:paraId="06C449BB" w14:textId="77777777" w:rsidR="00196616" w:rsidRPr="00A61619" w:rsidRDefault="00196616" w:rsidP="00196616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A61619">
        <w:rPr>
          <w:rFonts w:ascii="Times New Roman" w:hAnsi="Times New Roman" w:cs="Times New Roman"/>
          <w:b/>
          <w:bCs/>
          <w:sz w:val="22"/>
          <w:szCs w:val="22"/>
        </w:rPr>
        <w:t>Số</w:t>
      </w:r>
      <w:proofErr w:type="spellEnd"/>
      <w:r w:rsidRPr="00A61619">
        <w:rPr>
          <w:rFonts w:ascii="Times New Roman" w:hAnsi="Times New Roman" w:cs="Times New Roman"/>
          <w:b/>
          <w:bCs/>
          <w:sz w:val="22"/>
          <w:szCs w:val="22"/>
        </w:rPr>
        <w:t xml:space="preserve"> CMND/CCCD/</w:t>
      </w:r>
      <w:proofErr w:type="spellStart"/>
      <w:r w:rsidRPr="00A61619">
        <w:rPr>
          <w:rFonts w:ascii="Times New Roman" w:hAnsi="Times New Roman" w:cs="Times New Roman"/>
          <w:b/>
          <w:bCs/>
          <w:sz w:val="22"/>
          <w:szCs w:val="22"/>
        </w:rPr>
        <w:t>Mã</w:t>
      </w:r>
      <w:proofErr w:type="spellEnd"/>
      <w:r w:rsidRPr="00A6161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b/>
          <w:bCs/>
          <w:sz w:val="22"/>
          <w:szCs w:val="22"/>
        </w:rPr>
        <w:t>số</w:t>
      </w:r>
      <w:proofErr w:type="spellEnd"/>
      <w:r w:rsidRPr="00A6161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b/>
          <w:bCs/>
          <w:sz w:val="22"/>
          <w:szCs w:val="22"/>
        </w:rPr>
        <w:t>doanh</w:t>
      </w:r>
      <w:proofErr w:type="spellEnd"/>
      <w:r w:rsidRPr="00A6161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b/>
          <w:bCs/>
          <w:sz w:val="22"/>
          <w:szCs w:val="22"/>
        </w:rPr>
        <w:t>nghiệp</w:t>
      </w:r>
      <w:proofErr w:type="spellEnd"/>
      <w:r w:rsidRPr="00A61619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A61619">
        <w:rPr>
          <w:rFonts w:ascii="Times New Roman" w:hAnsi="Times New Roman" w:cs="Times New Roman"/>
          <w:sz w:val="22"/>
          <w:szCs w:val="22"/>
        </w:rPr>
        <w:t xml:space="preserve"> [Thông tin do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Bán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cung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cấp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]</w:t>
      </w:r>
    </w:p>
    <w:p w14:paraId="334D5018" w14:textId="77777777" w:rsidR="00196616" w:rsidRPr="00A61619" w:rsidRDefault="00196616" w:rsidP="00196616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b/>
          <w:bCs/>
          <w:sz w:val="22"/>
          <w:szCs w:val="22"/>
        </w:rPr>
        <w:t>Email:</w:t>
      </w:r>
      <w:r w:rsidRPr="00A61619">
        <w:rPr>
          <w:rFonts w:ascii="Times New Roman" w:hAnsi="Times New Roman" w:cs="Times New Roman"/>
          <w:sz w:val="22"/>
          <w:szCs w:val="22"/>
        </w:rPr>
        <w:t xml:space="preserve"> [Email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đăng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ký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tài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khoản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]</w:t>
      </w:r>
    </w:p>
    <w:p w14:paraId="3806754C" w14:textId="77777777" w:rsidR="00196616" w:rsidRPr="00A61619" w:rsidRDefault="00196616" w:rsidP="00196616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A61619">
        <w:rPr>
          <w:rFonts w:ascii="Times New Roman" w:hAnsi="Times New Roman" w:cs="Times New Roman"/>
          <w:b/>
          <w:bCs/>
          <w:sz w:val="22"/>
          <w:szCs w:val="22"/>
        </w:rPr>
        <w:t>Điện</w:t>
      </w:r>
      <w:proofErr w:type="spellEnd"/>
      <w:r w:rsidRPr="00A6161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b/>
          <w:bCs/>
          <w:sz w:val="22"/>
          <w:szCs w:val="22"/>
        </w:rPr>
        <w:t>thoại</w:t>
      </w:r>
      <w:proofErr w:type="spellEnd"/>
      <w:r w:rsidRPr="00A61619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A61619">
        <w:rPr>
          <w:rFonts w:ascii="Times New Roman" w:hAnsi="Times New Roman" w:cs="Times New Roman"/>
          <w:sz w:val="22"/>
          <w:szCs w:val="22"/>
        </w:rPr>
        <w:t xml:space="preserve"> [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Số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điện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thoại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đăng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ký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]</w:t>
      </w:r>
    </w:p>
    <w:p w14:paraId="6ACEB082" w14:textId="77777777" w:rsidR="00196616" w:rsidRPr="00A61619" w:rsidRDefault="00196616" w:rsidP="0019661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Sau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khi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thỏa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thuận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,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hai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thống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nhất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ký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kết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hợp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đồng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này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với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các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điều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khoản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và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điều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kiện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sau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>:</w:t>
      </w:r>
    </w:p>
    <w:p w14:paraId="449AF874" w14:textId="77777777" w:rsidR="00196616" w:rsidRPr="00A61619" w:rsidRDefault="0019661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61619">
        <w:rPr>
          <w:rFonts w:ascii="Times New Roman" w:hAnsi="Times New Roman" w:cs="Times New Roman"/>
          <w:b/>
          <w:bCs/>
          <w:sz w:val="22"/>
          <w:szCs w:val="22"/>
        </w:rPr>
        <w:br w:type="page"/>
      </w:r>
    </w:p>
    <w:p w14:paraId="16566B82" w14:textId="17697ADC" w:rsidR="00196616" w:rsidRPr="00A61619" w:rsidRDefault="00196616" w:rsidP="00196616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61619">
        <w:rPr>
          <w:rFonts w:ascii="Times New Roman" w:hAnsi="Times New Roman" w:cs="Times New Roman"/>
          <w:b/>
          <w:bCs/>
          <w:sz w:val="22"/>
          <w:szCs w:val="22"/>
        </w:rPr>
        <w:lastRenderedPageBreak/>
        <w:t>ĐIỀU 1: GIẢI THÍCH TỪ NGỮ</w:t>
      </w:r>
    </w:p>
    <w:p w14:paraId="0C670C82" w14:textId="77777777" w:rsidR="00196616" w:rsidRPr="00A61619" w:rsidRDefault="00196616" w:rsidP="0019661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1.1.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Sàn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Giao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Dịch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TMĐT MMO Market (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Sàn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):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website/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ứng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dụng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do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sở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hữu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vận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hành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.</w:t>
      </w:r>
    </w:p>
    <w:p w14:paraId="68578621" w14:textId="77777777" w:rsidR="00196616" w:rsidRPr="00A61619" w:rsidRDefault="00196616" w:rsidP="0019661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1.2. Coins: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đơn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vị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tiền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tệ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ảo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được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sử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dụng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mọi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giao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dịch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Sàn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.</w:t>
      </w:r>
    </w:p>
    <w:p w14:paraId="00C194F5" w14:textId="77777777" w:rsidR="00196616" w:rsidRPr="00A61619" w:rsidRDefault="00196616" w:rsidP="0019661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1.3.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Hệ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Thống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Tạm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Giữ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(Escrow):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cơ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chế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tạm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giữ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số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Coins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từ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một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giao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dịch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03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ngày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.</w:t>
      </w:r>
    </w:p>
    <w:p w14:paraId="1D7C1CE0" w14:textId="77777777" w:rsidR="00196616" w:rsidRPr="00A61619" w:rsidRDefault="00196616" w:rsidP="0019661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1.4.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Phí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Kích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Hoạt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Tài Khoản: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khoản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phí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hoàn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lại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B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phải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thanh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toán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A.</w:t>
      </w:r>
    </w:p>
    <w:p w14:paraId="3D6C74C0" w14:textId="77777777" w:rsidR="00196616" w:rsidRPr="00A61619" w:rsidRDefault="00196616" w:rsidP="00196616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61619">
        <w:rPr>
          <w:rFonts w:ascii="Times New Roman" w:hAnsi="Times New Roman" w:cs="Times New Roman"/>
          <w:b/>
          <w:bCs/>
          <w:sz w:val="22"/>
          <w:szCs w:val="22"/>
        </w:rPr>
        <w:t>ĐIỀU 2: NỘI DUNG VÀ PHẠM VI DỊCH VỤ</w:t>
      </w:r>
    </w:p>
    <w:p w14:paraId="04C7B1A6" w14:textId="77777777" w:rsidR="00196616" w:rsidRPr="00A61619" w:rsidRDefault="00196616" w:rsidP="0019661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đồng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ý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phép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B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sử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dụng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nền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tảng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Sàn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mở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Cửa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hàng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đăng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bán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kinh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doanh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sản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phẩm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dịch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vụ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kỹ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thuật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số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theo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điều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khoản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đồng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này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Quy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chế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hoạt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động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Bán.</w:t>
      </w:r>
    </w:p>
    <w:p w14:paraId="7BF6D876" w14:textId="77777777" w:rsidR="00196616" w:rsidRPr="00A61619" w:rsidRDefault="00196616" w:rsidP="00196616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61619">
        <w:rPr>
          <w:rFonts w:ascii="Times New Roman" w:hAnsi="Times New Roman" w:cs="Times New Roman"/>
          <w:b/>
          <w:bCs/>
          <w:sz w:val="22"/>
          <w:szCs w:val="22"/>
        </w:rPr>
        <w:t>ĐIỀU 3: QUY ĐỊNH VỀ PHÍ VÀ THANH TOÁN</w:t>
      </w:r>
    </w:p>
    <w:p w14:paraId="47DB18AF" w14:textId="77777777" w:rsidR="00196616" w:rsidRPr="00A61619" w:rsidRDefault="00196616" w:rsidP="0019661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3.1.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Phí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Kích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Hoạt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Tài Khoản: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kích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hoạt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Tài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Khoản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Bán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Hàng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B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phải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thanh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toán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một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khoản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Phí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Kích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Hoạt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200.000 VNĐ.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Khoản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phí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này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phí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một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lần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được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hoàn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lại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bất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kỳ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trường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nào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.</w:t>
      </w:r>
    </w:p>
    <w:p w14:paraId="3B4EC81E" w14:textId="77777777" w:rsidR="00196616" w:rsidRPr="00A61619" w:rsidRDefault="00196616" w:rsidP="0019661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3.2.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Hệ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Thống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Tạm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Giữ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Giao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Dịch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(Escrow):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Toàn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bộ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số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Coins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từ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mỗi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giao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dịch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sẽ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được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tạm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giữ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vòng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03 (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ngày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. Sau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thời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gian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này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nếu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khiếu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nại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số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Coins (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sau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trừ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Phí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Giao Dịch)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sẽ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được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vào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số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dư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thể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rút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B.</w:t>
      </w:r>
    </w:p>
    <w:p w14:paraId="585FF8DE" w14:textId="77777777" w:rsidR="00196616" w:rsidRPr="00A61619" w:rsidRDefault="00196616" w:rsidP="0019661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3.3.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Phí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Giao Dịch: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Mức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Phí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Giao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Dịch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được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áp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dụng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tổng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giá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trị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mỗi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đơn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hàng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thành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công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quy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định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chi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tiết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tại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Quy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chế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hoạt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động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Bán.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quyền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điều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chỉnh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biểu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phí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này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sẽ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báo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trước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B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tối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thiểu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07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ngày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.</w:t>
      </w:r>
    </w:p>
    <w:p w14:paraId="74DB51E9" w14:textId="77777777" w:rsidR="00196616" w:rsidRPr="00A61619" w:rsidRDefault="00196616" w:rsidP="0019661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>3.4. Quy Định Rút Tiền:</w:t>
      </w:r>
    </w:p>
    <w:p w14:paraId="1CE23BC0" w14:textId="77777777" w:rsidR="00196616" w:rsidRPr="00A61619" w:rsidRDefault="00196616" w:rsidP="0019661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B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quyền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yêu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cầu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rút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tiền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số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dư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đạt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mức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tối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thiểu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50.000 Coins.</w:t>
      </w:r>
    </w:p>
    <w:p w14:paraId="2E1B0201" w14:textId="77777777" w:rsidR="00196616" w:rsidRPr="00A61619" w:rsidRDefault="00196616" w:rsidP="0019661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b.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B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chịu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hoàn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toàn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trách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nhiệm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về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tính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chính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xác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ngân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hàng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. Trường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cung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cấp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sai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dẫn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đến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giao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dịch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thất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bại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B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sẽ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bị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một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khoản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phí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xử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lý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tương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đương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5%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tổng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giá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trị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lệnh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rút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tiền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đó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.</w:t>
      </w:r>
    </w:p>
    <w:p w14:paraId="5D289E41" w14:textId="77777777" w:rsidR="00196616" w:rsidRPr="00A61619" w:rsidRDefault="00196616" w:rsidP="0019661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3.5.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Xử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Lý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Yêu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Cầu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Rút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Tiền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Khi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Khiếu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Nại:</w:t>
      </w:r>
    </w:p>
    <w:p w14:paraId="7A4BFECC" w14:textId="77777777" w:rsidR="00196616" w:rsidRPr="00A61619" w:rsidRDefault="00196616" w:rsidP="0019661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a. Khi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tài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khoản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B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phát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sinh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khiếu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nại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đang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quá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trình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xử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lý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về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hành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vi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nghi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ngờ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lừa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đảo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quyền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tạm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thời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đóng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băng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toàn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bộ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chức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năng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rút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tiền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B.</w:t>
      </w:r>
    </w:p>
    <w:p w14:paraId="507ADA7C" w14:textId="77777777" w:rsidR="00196616" w:rsidRPr="00A61619" w:rsidRDefault="00196616" w:rsidP="0019661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lastRenderedPageBreak/>
        <w:t xml:space="preserve">b. Trong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thời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gian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bị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đóng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băng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mọi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yêu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cầu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rút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tiền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do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B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tạo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hệ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thống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sẽ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bị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đưa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vào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trạng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thái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"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Chờ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xử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lý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".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A (Admin)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sẽ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chủ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động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từ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chối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yêu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cầu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này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.</w:t>
      </w:r>
    </w:p>
    <w:p w14:paraId="3A5C4BC9" w14:textId="77777777" w:rsidR="00196616" w:rsidRPr="00A61619" w:rsidRDefault="00196616" w:rsidP="0019661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c. Ngay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Admin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thực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hiện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hành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động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từ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chối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hệ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thống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sẽ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tự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động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một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khoản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phí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xử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lý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rủi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ro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5%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số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Coins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được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yêu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cầu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lệnh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rút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tiền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bị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từ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chối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đó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.</w:t>
      </w:r>
    </w:p>
    <w:p w14:paraId="29A57284" w14:textId="4E269CDB" w:rsidR="00196616" w:rsidRPr="00A61619" w:rsidRDefault="00196616" w:rsidP="0019661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b/>
          <w:bCs/>
          <w:sz w:val="22"/>
          <w:szCs w:val="22"/>
        </w:rPr>
        <w:t>ĐIỀU 4: QUYỀN VÀ NGHĨA VỤ CỦA CÁC BÊN</w:t>
      </w:r>
    </w:p>
    <w:p w14:paraId="4B270B0B" w14:textId="77777777" w:rsidR="00196616" w:rsidRPr="00A61619" w:rsidRDefault="00196616" w:rsidP="0019661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4.1. Quyền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Nghĩa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vụ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A: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Đảm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bảo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hạ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tầng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kỹ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thuật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ổn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định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; Bảo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mật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B;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quyền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khoản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phí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theo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Điều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3;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quyền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tạm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khóa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tài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khoản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áp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dụng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chế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tài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xử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lý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B vi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phạm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.</w:t>
      </w:r>
    </w:p>
    <w:p w14:paraId="0B9C8598" w14:textId="4202F1A3" w:rsidR="00196616" w:rsidRPr="00A61619" w:rsidRDefault="00196616" w:rsidP="0019661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4.2. Quyền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Nghĩa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vụ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B: Cung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cấp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đầy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đủ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trung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thực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; Thanh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toán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Phí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Kích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Hoạt;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Chịu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trách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nhiệm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về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chất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lượng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nguồn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gốc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sản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phẩm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; Tuân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thủ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nghiêm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ngặt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Quy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chế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hoạt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động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Bán.</w:t>
      </w:r>
    </w:p>
    <w:p w14:paraId="1FE68B5B" w14:textId="77777777" w:rsidR="00196616" w:rsidRPr="00A61619" w:rsidRDefault="00196616" w:rsidP="00196616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61619">
        <w:rPr>
          <w:rFonts w:ascii="Times New Roman" w:hAnsi="Times New Roman" w:cs="Times New Roman"/>
          <w:b/>
          <w:bCs/>
          <w:sz w:val="22"/>
          <w:szCs w:val="22"/>
        </w:rPr>
        <w:t>ĐIỀU 5: BẢO MẬT THÔNG TIN</w:t>
      </w:r>
    </w:p>
    <w:p w14:paraId="22D7765B" w14:textId="4A5BE23C" w:rsidR="00196616" w:rsidRPr="00A61619" w:rsidRDefault="00196616" w:rsidP="0019661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Hai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cam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kết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bảo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mật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mọi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liên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quan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đến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hoạt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động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kinh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doanh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còn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lại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mình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được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quá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trình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thực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hiện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đồng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.</w:t>
      </w:r>
    </w:p>
    <w:p w14:paraId="558B32BD" w14:textId="77777777" w:rsidR="00196616" w:rsidRPr="00A61619" w:rsidRDefault="00196616" w:rsidP="00196616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61619">
        <w:rPr>
          <w:rFonts w:ascii="Times New Roman" w:hAnsi="Times New Roman" w:cs="Times New Roman"/>
          <w:b/>
          <w:bCs/>
          <w:sz w:val="22"/>
          <w:szCs w:val="22"/>
        </w:rPr>
        <w:t>ĐIỀU 6: GIẢI QUYẾT TRANH CHẤP</w:t>
      </w:r>
    </w:p>
    <w:p w14:paraId="31CDEFD3" w14:textId="2B356046" w:rsidR="003D4623" w:rsidRPr="00A61619" w:rsidRDefault="003D4623" w:rsidP="003D462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6.1. Khi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tranh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chấp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khách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hàng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B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trách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nhiệm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giải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quyết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với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nhau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trước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tiên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.</w:t>
      </w:r>
    </w:p>
    <w:p w14:paraId="47C90072" w14:textId="5CC01532" w:rsidR="003D4623" w:rsidRPr="00A61619" w:rsidRDefault="003D4623" w:rsidP="003D462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6.2. Trường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đạt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được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thỏa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thuận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một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hai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quyền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yêu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cầu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A can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thiệp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Quyết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định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sẽ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quyết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định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cuối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cùng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mang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tính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ràng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buộc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.</w:t>
      </w:r>
    </w:p>
    <w:p w14:paraId="104E4631" w14:textId="77777777" w:rsidR="00A61619" w:rsidRPr="00A61619" w:rsidRDefault="00A61619" w:rsidP="00A61619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61619">
        <w:rPr>
          <w:rFonts w:ascii="Times New Roman" w:hAnsi="Times New Roman" w:cs="Times New Roman"/>
          <w:b/>
          <w:bCs/>
          <w:sz w:val="22"/>
          <w:szCs w:val="22"/>
        </w:rPr>
        <w:t>ĐIỀU 7: SỰ KIỆN BẤT KHẢ KHÁNG</w:t>
      </w:r>
    </w:p>
    <w:p w14:paraId="331C4D8E" w14:textId="25E789D6" w:rsidR="00A61619" w:rsidRPr="00A61619" w:rsidRDefault="00A61619" w:rsidP="00A61619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nào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phải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chịu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trách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nhiệm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việc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chậm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trễ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thực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hiện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nghĩa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vụ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mình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theo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đồng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này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nếu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nguyên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nhân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do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sự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kiện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bất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khả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kháng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thiên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tai,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chiến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tranh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dịch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bệnh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thay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đổi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chính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sách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pháp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luật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...).</w:t>
      </w:r>
    </w:p>
    <w:p w14:paraId="43854C0F" w14:textId="77777777" w:rsidR="006D10A2" w:rsidRDefault="006D10A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br w:type="page"/>
      </w:r>
    </w:p>
    <w:p w14:paraId="0D201A6E" w14:textId="34412DC2" w:rsidR="00961B7B" w:rsidRPr="00A61619" w:rsidRDefault="00961B7B" w:rsidP="00961B7B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61619">
        <w:rPr>
          <w:rFonts w:ascii="Times New Roman" w:hAnsi="Times New Roman" w:cs="Times New Roman"/>
          <w:b/>
          <w:bCs/>
          <w:sz w:val="22"/>
          <w:szCs w:val="22"/>
        </w:rPr>
        <w:lastRenderedPageBreak/>
        <w:t>ĐIỀU 8: NGHĨA VỤ THUẾ</w:t>
      </w:r>
    </w:p>
    <w:p w14:paraId="23A2B5BF" w14:textId="77777777" w:rsidR="00961B7B" w:rsidRPr="00A61619" w:rsidRDefault="00961B7B" w:rsidP="00961B7B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8.1.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Trách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nhiệm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B: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B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xác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nhận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đồng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ý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rằng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mình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chịu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trách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nhiệm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duy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nhất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toàn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bộ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việc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thực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hiện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mọi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nghĩa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vụ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về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thuế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đối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với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khoản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nhập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phát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sinh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từ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hoạt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động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kinh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doanh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Sàn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, bao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gồm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nhưng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giới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hạn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ở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Thuế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Thu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nhập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cá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nhân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(TNCN)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đối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với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cá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nhân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kinh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doanh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Thuế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Thu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nhập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doanh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nghiệp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(TNDN)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Thuế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Giá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trị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gia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tăng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(GTGT)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đối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với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tổ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chức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doanh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nghiệp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theo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quy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định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pháp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luật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Việt Nam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hiện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hành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.</w:t>
      </w:r>
    </w:p>
    <w:p w14:paraId="34231450" w14:textId="77777777" w:rsidR="00961B7B" w:rsidRPr="00A61619" w:rsidRDefault="00961B7B" w:rsidP="00961B7B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8.2. Vai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trò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A: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hoạt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động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với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vai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trò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đơn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vị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cung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cấp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nền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tảng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trung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gian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chịu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trách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nhiệm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kê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khai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hay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nộp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thuế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thay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B. Tuy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nhiên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nghĩa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vụ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tác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cung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cấp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thông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về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hoạt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động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giao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dịch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doanh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B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cơ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quan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thuế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thẩm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quyền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yêu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cầu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pháp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bằng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văn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bản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.</w:t>
      </w:r>
    </w:p>
    <w:p w14:paraId="71562F88" w14:textId="40CF162E" w:rsidR="00961B7B" w:rsidRPr="00A61619" w:rsidRDefault="00961B7B" w:rsidP="00961B7B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8.3.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Miễn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trừ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trách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nhiệm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B cam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kết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sẽ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bồi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hoàn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miễn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trừ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khỏi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mọi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tổn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thất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, chi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phí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khoản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phạt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phát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sinh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nếu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B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hoàn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thành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hoàn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thành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đúng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nghĩa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vụ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thuế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mình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.</w:t>
      </w:r>
    </w:p>
    <w:p w14:paraId="0AAB08D5" w14:textId="6153CF36" w:rsidR="00196616" w:rsidRPr="00A61619" w:rsidRDefault="00196616" w:rsidP="003D4623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61619">
        <w:rPr>
          <w:rFonts w:ascii="Times New Roman" w:hAnsi="Times New Roman" w:cs="Times New Roman"/>
          <w:b/>
          <w:bCs/>
          <w:sz w:val="22"/>
          <w:szCs w:val="22"/>
        </w:rPr>
        <w:t xml:space="preserve">ĐIỀU </w:t>
      </w:r>
      <w:r w:rsidR="00A61619" w:rsidRPr="00A61619">
        <w:rPr>
          <w:rFonts w:ascii="Times New Roman" w:hAnsi="Times New Roman" w:cs="Times New Roman"/>
          <w:b/>
          <w:bCs/>
          <w:sz w:val="22"/>
          <w:szCs w:val="22"/>
        </w:rPr>
        <w:t>9</w:t>
      </w:r>
      <w:r w:rsidRPr="00A61619">
        <w:rPr>
          <w:rFonts w:ascii="Times New Roman" w:hAnsi="Times New Roman" w:cs="Times New Roman"/>
          <w:b/>
          <w:bCs/>
          <w:sz w:val="22"/>
          <w:szCs w:val="22"/>
        </w:rPr>
        <w:t>: ĐIỀU KHOẢN CHUNG</w:t>
      </w:r>
    </w:p>
    <w:p w14:paraId="5E7E7D1D" w14:textId="48C47250" w:rsidR="00196616" w:rsidRPr="00A61619" w:rsidRDefault="00A61619" w:rsidP="0019661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>9</w:t>
      </w:r>
      <w:r w:rsidR="00196616" w:rsidRPr="00A61619">
        <w:rPr>
          <w:rFonts w:ascii="Times New Roman" w:hAnsi="Times New Roman" w:cs="Times New Roman"/>
          <w:sz w:val="22"/>
          <w:szCs w:val="22"/>
        </w:rPr>
        <w:t xml:space="preserve">.1.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đồng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này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hiệu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lực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kể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từ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thời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điểm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B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hoàn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tất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việc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thanh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toán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Phí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Kích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Hoạt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Tài Khoản.</w:t>
      </w:r>
    </w:p>
    <w:p w14:paraId="3592A20B" w14:textId="5DD35365" w:rsidR="00196616" w:rsidRPr="00A61619" w:rsidRDefault="00A61619" w:rsidP="0019661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>9</w:t>
      </w:r>
      <w:r w:rsidR="00196616" w:rsidRPr="00A61619">
        <w:rPr>
          <w:rFonts w:ascii="Times New Roman" w:hAnsi="Times New Roman" w:cs="Times New Roman"/>
          <w:sz w:val="22"/>
          <w:szCs w:val="22"/>
        </w:rPr>
        <w:t xml:space="preserve">.2. Quy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chế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hoạt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động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Bán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là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một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phần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thể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tách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rời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giá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trị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pháp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lý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tương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đương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với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đồng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này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>.</w:t>
      </w:r>
    </w:p>
    <w:p w14:paraId="555F5809" w14:textId="3B2E4451" w:rsidR="00196616" w:rsidRPr="00A61619" w:rsidRDefault="00A61619" w:rsidP="0019661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>9</w:t>
      </w:r>
      <w:r w:rsidR="00196616" w:rsidRPr="00A61619">
        <w:rPr>
          <w:rFonts w:ascii="Times New Roman" w:hAnsi="Times New Roman" w:cs="Times New Roman"/>
          <w:sz w:val="22"/>
          <w:szCs w:val="22"/>
        </w:rPr>
        <w:t xml:space="preserve">.3.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đồng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được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lập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thành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hai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(02)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bản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dưới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dạng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điện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tử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giá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trị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pháp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lý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như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nhau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Việc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B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nhấn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nút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"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Đồng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ý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với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Điều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khoản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Hoàn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tất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đăng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ký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"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được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coi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là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hành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vi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xác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nhận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đã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đọc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hiểu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và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đồng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ý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với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toàn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bộ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nội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dung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Hợp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đồng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giá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trị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tương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đương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với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chữ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ký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6616"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="00196616" w:rsidRPr="00A61619">
        <w:rPr>
          <w:rFonts w:ascii="Times New Roman" w:hAnsi="Times New Roman" w:cs="Times New Roman"/>
          <w:sz w:val="22"/>
          <w:szCs w:val="22"/>
        </w:rPr>
        <w:t xml:space="preserve"> B.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953F8" w:rsidRPr="00A61619" w14:paraId="353FDA50" w14:textId="77777777" w:rsidTr="0017778D">
        <w:trPr>
          <w:jc w:val="center"/>
        </w:trPr>
        <w:tc>
          <w:tcPr>
            <w:tcW w:w="4675" w:type="dxa"/>
          </w:tcPr>
          <w:p w14:paraId="5E4D9A35" w14:textId="77777777" w:rsidR="00C953F8" w:rsidRPr="00E6188F" w:rsidRDefault="00C953F8" w:rsidP="0017778D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6188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ĐẠI DIỆN BÊN A</w:t>
            </w:r>
          </w:p>
          <w:p w14:paraId="6221CA0E" w14:textId="77777777" w:rsidR="00C953F8" w:rsidRPr="00A61619" w:rsidRDefault="00C953F8" w:rsidP="0017778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Ký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ghi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rõ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họ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tên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và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đóng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dấu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nếu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có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45515D04" w14:textId="77777777" w:rsidR="00C953F8" w:rsidRPr="00A61619" w:rsidRDefault="00C953F8" w:rsidP="0017778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Tên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người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đại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diện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Bên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A]</w:t>
            </w:r>
          </w:p>
        </w:tc>
        <w:tc>
          <w:tcPr>
            <w:tcW w:w="4675" w:type="dxa"/>
          </w:tcPr>
          <w:p w14:paraId="5D6A4BCD" w14:textId="77777777" w:rsidR="00C953F8" w:rsidRPr="00E6188F" w:rsidRDefault="00C953F8" w:rsidP="0017778D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6188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ĐẠI DIỆN BÊN B</w:t>
            </w:r>
          </w:p>
          <w:p w14:paraId="51EAE026" w14:textId="77777777" w:rsidR="00C953F8" w:rsidRPr="00A61619" w:rsidRDefault="00C953F8" w:rsidP="0017778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Bên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B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xác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nhận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bằng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hành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vi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nhấn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nút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"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Đồng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ý"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khi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đăng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ký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3AA5E221" w14:textId="77777777" w:rsidR="00C953F8" w:rsidRPr="00A61619" w:rsidRDefault="00C953F8" w:rsidP="0017778D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Tên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Người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Bán/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Tên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Tổ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chức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  <w:p w14:paraId="08E0DB0B" w14:textId="77777777" w:rsidR="00C953F8" w:rsidRPr="00A61619" w:rsidRDefault="00C953F8" w:rsidP="0017778D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03C0C07" w14:textId="77777777" w:rsidR="00A61619" w:rsidRDefault="00A61619" w:rsidP="0083589E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99AC0C3" w14:textId="77777777" w:rsidR="00A61619" w:rsidRDefault="00A61619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br w:type="page"/>
      </w:r>
    </w:p>
    <w:p w14:paraId="249D09E9" w14:textId="5AA651BE" w:rsidR="0083589E" w:rsidRPr="00A61619" w:rsidRDefault="0083589E" w:rsidP="0083589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61619">
        <w:rPr>
          <w:rFonts w:ascii="Times New Roman" w:hAnsi="Times New Roman" w:cs="Times New Roman"/>
          <w:b/>
          <w:bCs/>
          <w:sz w:val="22"/>
          <w:szCs w:val="22"/>
        </w:rPr>
        <w:lastRenderedPageBreak/>
        <w:t>PHẦN 2: QUY CHẾ HOẠT ĐỘNG CỦA NGƯỜI BÁN</w:t>
      </w:r>
    </w:p>
    <w:p w14:paraId="3791F6E7" w14:textId="77777777" w:rsidR="0083589E" w:rsidRPr="00A61619" w:rsidRDefault="0083589E" w:rsidP="0083589E">
      <w:pPr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Quy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chế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này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chi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tiết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hóa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các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quy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tắc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vận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hành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,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hệ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thống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phân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cấp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,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chế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tài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xử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lý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và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quyền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lợi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mà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tất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cả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Người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Bán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phải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tuân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i/>
          <w:iCs/>
          <w:sz w:val="22"/>
          <w:szCs w:val="22"/>
        </w:rPr>
        <w:t>thủ</w:t>
      </w:r>
      <w:proofErr w:type="spellEnd"/>
      <w:r w:rsidRPr="00A61619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75B9CBCA" w14:textId="77777777" w:rsidR="0083589E" w:rsidRPr="00A61619" w:rsidRDefault="0083589E" w:rsidP="0083589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61619">
        <w:rPr>
          <w:rFonts w:ascii="Times New Roman" w:hAnsi="Times New Roman" w:cs="Times New Roman"/>
          <w:b/>
          <w:bCs/>
          <w:sz w:val="22"/>
          <w:szCs w:val="22"/>
        </w:rPr>
        <w:t>1. HỆ THỐNG PHÂN CẤP NGƯỜI BÁN 8 CẤP ĐỘ</w:t>
      </w:r>
    </w:p>
    <w:tbl>
      <w:tblPr>
        <w:tblW w:w="9368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"/>
        <w:gridCol w:w="1475"/>
        <w:gridCol w:w="2123"/>
        <w:gridCol w:w="1497"/>
        <w:gridCol w:w="1849"/>
        <w:gridCol w:w="1516"/>
      </w:tblGrid>
      <w:tr w:rsidR="00C953F8" w:rsidRPr="00A61619" w14:paraId="21542807" w14:textId="77777777" w:rsidTr="00544E45">
        <w:trPr>
          <w:tblHeader/>
          <w:tblCellSpacing w:w="15" w:type="dxa"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CBF659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Cấp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Độ</w:t>
            </w:r>
            <w:proofErr w:type="spellEnd"/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B698CF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Tên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Cấp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Độ</w:t>
            </w:r>
            <w:proofErr w:type="spellEnd"/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112D5D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Điều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Kiện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Lên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Cấp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(Doanh Thu)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0645D7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Điều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Kiện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Bổ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Sung (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Đánh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giá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)*</w:t>
            </w:r>
            <w:proofErr w:type="gramEnd"/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B22904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Giới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Hạn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Giá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Bán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Tối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Đa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/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Sản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Phẩm</w:t>
            </w:r>
            <w:proofErr w:type="spellEnd"/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DC451C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Phí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Giao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Dịch</w:t>
            </w:r>
            <w:proofErr w:type="spellEnd"/>
          </w:p>
        </w:tc>
      </w:tr>
      <w:tr w:rsidR="00C953F8" w:rsidRPr="00A61619" w14:paraId="214AC75A" w14:textId="77777777" w:rsidTr="00544E45">
        <w:trPr>
          <w:tblCellSpacing w:w="15" w:type="dxa"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905AC0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F65929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Khởi</w:t>
            </w:r>
            <w:proofErr w:type="spellEnd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Tạo</w:t>
            </w:r>
            <w:proofErr w:type="spellEnd"/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C73278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E7DE63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4B7008" w14:textId="2962B572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50.000 Coins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15A43E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0%</w:t>
            </w:r>
          </w:p>
        </w:tc>
      </w:tr>
      <w:tr w:rsidR="00C953F8" w:rsidRPr="00A61619" w14:paraId="5BBAD865" w14:textId="77777777" w:rsidTr="00544E45">
        <w:trPr>
          <w:tblCellSpacing w:w="15" w:type="dxa"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CE7F97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01B107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Tập</w:t>
            </w:r>
            <w:proofErr w:type="spellEnd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Sự</w:t>
            </w:r>
            <w:proofErr w:type="spellEnd"/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F125F8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1.000.000 Coins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4A7F6B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073465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100.000 Coins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71B85F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5.0%</w:t>
            </w:r>
          </w:p>
        </w:tc>
      </w:tr>
      <w:tr w:rsidR="00C953F8" w:rsidRPr="00A61619" w14:paraId="3DE29652" w14:textId="77777777" w:rsidTr="00544E45">
        <w:trPr>
          <w:tblCellSpacing w:w="15" w:type="dxa"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0C8A43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20F193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Tin </w:t>
            </w:r>
            <w:proofErr w:type="spellStart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Cậy</w:t>
            </w:r>
            <w:proofErr w:type="spellEnd"/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E067F3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3.000.000 Coins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009D10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Điểm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trung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bình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&gt; 3.0/5.0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9622BE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300.000 Coins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BF81C8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4.7%</w:t>
            </w:r>
          </w:p>
        </w:tc>
      </w:tr>
      <w:tr w:rsidR="00C953F8" w:rsidRPr="00A61619" w14:paraId="739DCDA9" w14:textId="77777777" w:rsidTr="00544E45">
        <w:trPr>
          <w:tblCellSpacing w:w="15" w:type="dxa"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AD9843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B71F53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Chuyên </w:t>
            </w:r>
            <w:proofErr w:type="spellStart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Nghiệp</w:t>
            </w:r>
            <w:proofErr w:type="spellEnd"/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399CF3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5.000.000 Coins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470266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Điểm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trung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bình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&gt; 3.0/5.0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33E104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500.000 Coins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4C27C0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4.5%</w:t>
            </w:r>
          </w:p>
        </w:tc>
      </w:tr>
      <w:tr w:rsidR="00C953F8" w:rsidRPr="00A61619" w14:paraId="3E15C370" w14:textId="77777777" w:rsidTr="00544E45">
        <w:trPr>
          <w:tblCellSpacing w:w="15" w:type="dxa"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E7AF3B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3A0E06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Đối</w:t>
            </w:r>
            <w:proofErr w:type="spellEnd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Tác</w:t>
            </w:r>
            <w:proofErr w:type="spellEnd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Bạc</w:t>
            </w:r>
            <w:proofErr w:type="spellEnd"/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38E0BB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10.000.000 Coins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125CFF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Điểm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trung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bình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&gt; 3.0/5.0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866E3D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1.000.000 Coins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3FFE90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4.3%</w:t>
            </w:r>
          </w:p>
        </w:tc>
      </w:tr>
      <w:tr w:rsidR="00C953F8" w:rsidRPr="00A61619" w14:paraId="42628A13" w14:textId="77777777" w:rsidTr="00544E45">
        <w:trPr>
          <w:tblCellSpacing w:w="15" w:type="dxa"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F77388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180C10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Đối</w:t>
            </w:r>
            <w:proofErr w:type="spellEnd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Tác</w:t>
            </w:r>
            <w:proofErr w:type="spellEnd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Vàng</w:t>
            </w:r>
            <w:proofErr w:type="spellEnd"/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938B9D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20.000.000 Coins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600305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Điểm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trung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bình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&gt; 3.0/5.0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608964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2.000.000 Coins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83B278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4.0%</w:t>
            </w:r>
          </w:p>
        </w:tc>
      </w:tr>
      <w:tr w:rsidR="00C953F8" w:rsidRPr="00A61619" w14:paraId="5289CD97" w14:textId="77777777" w:rsidTr="00544E45">
        <w:trPr>
          <w:tblCellSpacing w:w="15" w:type="dxa"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57C4A1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1F4A81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Đối</w:t>
            </w:r>
            <w:proofErr w:type="spellEnd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Tác</w:t>
            </w:r>
            <w:proofErr w:type="spellEnd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Bạch Kim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79ED90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50.000.000 Coins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9B77B8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Điểm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trung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bình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&gt; 3.0/5.0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4C8F7C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5.000.000 Coins</w:t>
            </w:r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294005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3.7%</w:t>
            </w:r>
          </w:p>
        </w:tc>
      </w:tr>
      <w:tr w:rsidR="00C953F8" w:rsidRPr="00A61619" w14:paraId="308E1F92" w14:textId="77777777" w:rsidTr="00544E45">
        <w:trPr>
          <w:tblCellSpacing w:w="15" w:type="dxa"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A10887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D0E162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Đối</w:t>
            </w:r>
            <w:proofErr w:type="spellEnd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Tác</w:t>
            </w:r>
            <w:proofErr w:type="spellEnd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Kim </w:t>
            </w:r>
            <w:proofErr w:type="spellStart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Cương</w:t>
            </w:r>
            <w:proofErr w:type="spellEnd"/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634B3C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Trên</w:t>
            </w:r>
            <w:proofErr w:type="spellEnd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50.000.000 Coins</w:t>
            </w:r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+ Theo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lời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mời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từ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Admin</w:t>
            </w:r>
          </w:p>
        </w:tc>
        <w:tc>
          <w:tcPr>
            <w:tcW w:w="1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4A2673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Điểm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trung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bình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&gt; 3.0/5.0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B1C19A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Không</w:t>
            </w:r>
            <w:proofErr w:type="spellEnd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giới</w:t>
            </w:r>
            <w:proofErr w:type="spellEnd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hạn</w:t>
            </w:r>
            <w:proofErr w:type="spellEnd"/>
          </w:p>
        </w:tc>
        <w:tc>
          <w:tcPr>
            <w:tcW w:w="1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5CF0C9" w14:textId="77777777" w:rsidR="0083589E" w:rsidRPr="00A61619" w:rsidRDefault="0083589E" w:rsidP="00544E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61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3.5%</w:t>
            </w:r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hoặc</w:t>
            </w:r>
            <w:proofErr w:type="spellEnd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 xml:space="preserve"> Thương </w:t>
            </w:r>
            <w:proofErr w:type="spellStart"/>
            <w:r w:rsidRPr="00A61619">
              <w:rPr>
                <w:rFonts w:ascii="Times New Roman" w:hAnsi="Times New Roman" w:cs="Times New Roman"/>
                <w:sz w:val="22"/>
                <w:szCs w:val="22"/>
              </w:rPr>
              <w:t>lượng</w:t>
            </w:r>
            <w:proofErr w:type="spellEnd"/>
          </w:p>
        </w:tc>
      </w:tr>
    </w:tbl>
    <w:p w14:paraId="575DE1A1" w14:textId="77777777" w:rsidR="0083589E" w:rsidRPr="00A61619" w:rsidRDefault="0083589E" w:rsidP="0083589E">
      <w:pPr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lastRenderedPageBreak/>
        <w:t>*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Điều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kiện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bổ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sung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về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đánh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giá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điểm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trung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bình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25%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số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lượng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đánh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giá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gần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nhất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cửa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hàng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tối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thiểu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10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đánh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giá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).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Áp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dụng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từ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Cấp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2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trở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.</w:t>
      </w:r>
    </w:p>
    <w:p w14:paraId="47A5C32A" w14:textId="77777777" w:rsidR="0083589E" w:rsidRPr="00A61619" w:rsidRDefault="0083589E" w:rsidP="0083589E">
      <w:pPr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>*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Giới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hạn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giá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bán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tối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được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tính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theo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công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thức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Tổng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Doanh Thu / 10.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Đây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là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biện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pháp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an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toàn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tự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động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.</w:t>
      </w:r>
    </w:p>
    <w:p w14:paraId="3D3D0EC1" w14:textId="77777777" w:rsidR="0083589E" w:rsidRPr="00A61619" w:rsidRDefault="0083589E" w:rsidP="0083589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61619">
        <w:rPr>
          <w:rFonts w:ascii="Times New Roman" w:hAnsi="Times New Roman" w:cs="Times New Roman"/>
          <w:b/>
          <w:bCs/>
          <w:sz w:val="22"/>
          <w:szCs w:val="22"/>
        </w:rPr>
        <w:t>2. CHÍNH SÁCH HỖ TRỢ VÀ CHỐNG GIAN LẬN</w:t>
      </w:r>
    </w:p>
    <w:p w14:paraId="6A6BDC8D" w14:textId="77777777" w:rsidR="0083589E" w:rsidRPr="00A61619" w:rsidRDefault="0083589E" w:rsidP="0083589E">
      <w:pPr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2.1.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Chương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Trình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Ân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Xá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: Sau 90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ngày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hoạt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động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liên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tục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Cờ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Cảnh Cáo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mới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Bán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quyền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yêu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cầu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được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xem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xét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xóa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01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Cờ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vi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phạm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nhẹ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.</w:t>
      </w:r>
    </w:p>
    <w:p w14:paraId="46F8F047" w14:textId="77777777" w:rsidR="0083589E" w:rsidRPr="00A61619" w:rsidRDefault="0083589E" w:rsidP="0083589E">
      <w:pPr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2.2.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Xác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Minh Danh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Tính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Nâng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Cao (KYC): Khi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đạt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Cấp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4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giao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dịch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bất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thường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có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quyền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yêu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cầu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B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cung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cấp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giấy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tờ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bổ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sung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xác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minh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danh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tính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.</w:t>
      </w:r>
    </w:p>
    <w:p w14:paraId="5726B293" w14:textId="77777777" w:rsidR="0083589E" w:rsidRPr="00A61619" w:rsidRDefault="0083589E" w:rsidP="0083589E">
      <w:pPr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2.3.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Tính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Toàn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Vẹn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Hệ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Thống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Đánh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Giá: Nghiêm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cấm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mọi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hành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vi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thao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túng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đánh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giá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. Vi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phạm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sẽ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bị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gắn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2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Cờ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Cảnh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Cáo.</w:t>
      </w:r>
    </w:p>
    <w:p w14:paraId="029DA8FE" w14:textId="77777777" w:rsidR="0083589E" w:rsidRPr="00A61619" w:rsidRDefault="0083589E" w:rsidP="0083589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61619">
        <w:rPr>
          <w:rFonts w:ascii="Times New Roman" w:hAnsi="Times New Roman" w:cs="Times New Roman"/>
          <w:b/>
          <w:bCs/>
          <w:sz w:val="22"/>
          <w:szCs w:val="22"/>
        </w:rPr>
        <w:t>3. HỆ THỐNG CẢNH CÁO (FLAG) VÀ CHẾ TÀI XỬ LÝ</w:t>
      </w:r>
    </w:p>
    <w:p w14:paraId="7568C7DA" w14:textId="77777777" w:rsidR="0083589E" w:rsidRPr="00A61619" w:rsidRDefault="0083589E" w:rsidP="0083589E">
      <w:pPr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3.1. Các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Hành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Vi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Dẫn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Đến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Bị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Gắn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Cờ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Cảnh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Cáo (Flag):</w:t>
      </w:r>
    </w:p>
    <w:p w14:paraId="4FC7DD26" w14:textId="77777777" w:rsidR="0083589E" w:rsidRPr="00A61619" w:rsidRDefault="0083589E" w:rsidP="0083589E">
      <w:pPr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* 1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Cờ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(Vi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phạm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nhẹ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):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Phản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hồi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khiếu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nại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chậm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trễ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sử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dụng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ngôn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từ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thiếu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chuyên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nghiệp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.</w:t>
      </w:r>
    </w:p>
    <w:p w14:paraId="417BDB63" w14:textId="77777777" w:rsidR="0083589E" w:rsidRPr="00A61619" w:rsidRDefault="0083589E" w:rsidP="0083589E">
      <w:pPr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* 2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Cờ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(Vi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phạm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trung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bình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):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Mô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tả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sản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phẩm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gây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hiểu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lầm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hủy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đơn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nhiều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lần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lý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do;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thao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túng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đánh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giá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.</w:t>
      </w:r>
    </w:p>
    <w:p w14:paraId="479C43F9" w14:textId="64E42C06" w:rsidR="0083589E" w:rsidRPr="00A61619" w:rsidRDefault="0083589E" w:rsidP="0083589E">
      <w:pPr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* 3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Cờ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hoặc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KHÓA VĨNH VIỄN (Vi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phạm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nặng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):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Lừa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đảo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(scam);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bán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sản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phẩm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cấm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.</w:t>
      </w:r>
    </w:p>
    <w:p w14:paraId="50E88D95" w14:textId="77777777" w:rsidR="0083589E" w:rsidRPr="00A61619" w:rsidRDefault="0083589E" w:rsidP="0083589E">
      <w:pPr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3.2.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Chế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Tài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Xử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Lý:</w:t>
      </w:r>
    </w:p>
    <w:p w14:paraId="048C7D13" w14:textId="77777777" w:rsidR="0083589E" w:rsidRPr="00A61619" w:rsidRDefault="0083589E" w:rsidP="0083589E">
      <w:pPr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*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Tích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lũy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3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Cờ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30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ngày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):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Giáng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1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Cấp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Độ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.</w:t>
      </w:r>
    </w:p>
    <w:p w14:paraId="1CA7039E" w14:textId="77777777" w:rsidR="0083589E" w:rsidRPr="00A61619" w:rsidRDefault="0083589E" w:rsidP="0083589E">
      <w:pPr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*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Tích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lũy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5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Cờ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90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ngày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):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Giáng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2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Cấp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Độ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.</w:t>
      </w:r>
    </w:p>
    <w:p w14:paraId="4E428356" w14:textId="77777777" w:rsidR="0083589E" w:rsidRPr="00A61619" w:rsidRDefault="0083589E" w:rsidP="0083589E">
      <w:pPr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*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Bị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xác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minh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lừa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đảo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1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lần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: KHÓA TÀI KHOẢN VĨNH VIỄN,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tịch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thu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toàn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bộ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số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dư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.</w:t>
      </w:r>
    </w:p>
    <w:p w14:paraId="68B56A42" w14:textId="77777777" w:rsidR="0083589E" w:rsidRPr="00A61619" w:rsidRDefault="0083589E" w:rsidP="0083589E">
      <w:pPr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*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Tích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lũy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7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Cờ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: KHÓA TÀI KHOẢN VĨNH VIỄN.</w:t>
      </w:r>
    </w:p>
    <w:p w14:paraId="4F365DBE" w14:textId="46B0E8AA" w:rsidR="00196616" w:rsidRPr="00A61619" w:rsidRDefault="0083589E" w:rsidP="00C953F8">
      <w:pPr>
        <w:rPr>
          <w:rFonts w:ascii="Times New Roman" w:hAnsi="Times New Roman" w:cs="Times New Roman"/>
          <w:sz w:val="22"/>
          <w:szCs w:val="22"/>
        </w:rPr>
      </w:pPr>
      <w:r w:rsidRPr="00A61619">
        <w:rPr>
          <w:rFonts w:ascii="Times New Roman" w:hAnsi="Times New Roman" w:cs="Times New Roman"/>
          <w:sz w:val="22"/>
          <w:szCs w:val="22"/>
        </w:rPr>
        <w:t xml:space="preserve">3.3.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Xóa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Cờ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Cờ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Cảnh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Cáo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sẽ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được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tự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động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xóa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sau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180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ngày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nếu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không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phát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sinh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vi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phạm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1619">
        <w:rPr>
          <w:rFonts w:ascii="Times New Roman" w:hAnsi="Times New Roman" w:cs="Times New Roman"/>
          <w:sz w:val="22"/>
          <w:szCs w:val="22"/>
        </w:rPr>
        <w:t>mới</w:t>
      </w:r>
      <w:proofErr w:type="spellEnd"/>
      <w:r w:rsidRPr="00A61619">
        <w:rPr>
          <w:rFonts w:ascii="Times New Roman" w:hAnsi="Times New Roman" w:cs="Times New Roman"/>
          <w:sz w:val="22"/>
          <w:szCs w:val="22"/>
        </w:rPr>
        <w:t>.</w:t>
      </w:r>
    </w:p>
    <w:p w14:paraId="6939CB4A" w14:textId="48404860" w:rsidR="000F47C7" w:rsidRPr="00A61619" w:rsidRDefault="000F47C7" w:rsidP="00196616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sectPr w:rsidR="000F47C7" w:rsidRPr="00A6161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E31C6" w14:textId="77777777" w:rsidR="00112398" w:rsidRDefault="00112398" w:rsidP="00112398">
      <w:pPr>
        <w:spacing w:after="0" w:line="240" w:lineRule="auto"/>
      </w:pPr>
      <w:r>
        <w:separator/>
      </w:r>
    </w:p>
  </w:endnote>
  <w:endnote w:type="continuationSeparator" w:id="0">
    <w:p w14:paraId="2CA632C7" w14:textId="77777777" w:rsidR="00112398" w:rsidRDefault="00112398" w:rsidP="0011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1018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230AF" w14:textId="4F549524" w:rsidR="00112398" w:rsidRDefault="001123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/6</w:t>
        </w:r>
      </w:p>
    </w:sdtContent>
  </w:sdt>
  <w:p w14:paraId="6C8D5F89" w14:textId="77777777" w:rsidR="00112398" w:rsidRDefault="00112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9C1A5" w14:textId="77777777" w:rsidR="00112398" w:rsidRDefault="00112398" w:rsidP="00112398">
      <w:pPr>
        <w:spacing w:after="0" w:line="240" w:lineRule="auto"/>
      </w:pPr>
      <w:r>
        <w:separator/>
      </w:r>
    </w:p>
  </w:footnote>
  <w:footnote w:type="continuationSeparator" w:id="0">
    <w:p w14:paraId="2C5F274A" w14:textId="77777777" w:rsidR="00112398" w:rsidRDefault="00112398" w:rsidP="00112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104E7"/>
    <w:multiLevelType w:val="multilevel"/>
    <w:tmpl w:val="9C2CC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B1BC8"/>
    <w:multiLevelType w:val="multilevel"/>
    <w:tmpl w:val="FA1E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9E7563"/>
    <w:multiLevelType w:val="multilevel"/>
    <w:tmpl w:val="3B96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42E63"/>
    <w:multiLevelType w:val="multilevel"/>
    <w:tmpl w:val="AE907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18155E"/>
    <w:multiLevelType w:val="multilevel"/>
    <w:tmpl w:val="F520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412A9"/>
    <w:multiLevelType w:val="multilevel"/>
    <w:tmpl w:val="4696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97B73"/>
    <w:multiLevelType w:val="multilevel"/>
    <w:tmpl w:val="8C12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1F0E8C"/>
    <w:multiLevelType w:val="multilevel"/>
    <w:tmpl w:val="A306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250930"/>
    <w:multiLevelType w:val="multilevel"/>
    <w:tmpl w:val="297C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943CDB"/>
    <w:multiLevelType w:val="multilevel"/>
    <w:tmpl w:val="CE8A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E72972"/>
    <w:multiLevelType w:val="multilevel"/>
    <w:tmpl w:val="65AE4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3086166">
    <w:abstractNumId w:val="2"/>
  </w:num>
  <w:num w:numId="2" w16cid:durableId="797912438">
    <w:abstractNumId w:val="4"/>
  </w:num>
  <w:num w:numId="3" w16cid:durableId="1440612415">
    <w:abstractNumId w:val="3"/>
  </w:num>
  <w:num w:numId="4" w16cid:durableId="1996521340">
    <w:abstractNumId w:val="1"/>
  </w:num>
  <w:num w:numId="5" w16cid:durableId="226765309">
    <w:abstractNumId w:val="0"/>
  </w:num>
  <w:num w:numId="6" w16cid:durableId="1332753636">
    <w:abstractNumId w:val="10"/>
  </w:num>
  <w:num w:numId="7" w16cid:durableId="1378117633">
    <w:abstractNumId w:val="9"/>
  </w:num>
  <w:num w:numId="8" w16cid:durableId="495003085">
    <w:abstractNumId w:val="5"/>
  </w:num>
  <w:num w:numId="9" w16cid:durableId="2049992331">
    <w:abstractNumId w:val="7"/>
  </w:num>
  <w:num w:numId="10" w16cid:durableId="127209254">
    <w:abstractNumId w:val="8"/>
  </w:num>
  <w:num w:numId="11" w16cid:durableId="9481987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43"/>
    <w:rsid w:val="000F47C7"/>
    <w:rsid w:val="00112398"/>
    <w:rsid w:val="00196616"/>
    <w:rsid w:val="002241E8"/>
    <w:rsid w:val="002447DF"/>
    <w:rsid w:val="002606F7"/>
    <w:rsid w:val="002F248D"/>
    <w:rsid w:val="00373F43"/>
    <w:rsid w:val="003D4623"/>
    <w:rsid w:val="003F74D3"/>
    <w:rsid w:val="00404E9C"/>
    <w:rsid w:val="00471B49"/>
    <w:rsid w:val="004C4D5A"/>
    <w:rsid w:val="00544E45"/>
    <w:rsid w:val="006A46A8"/>
    <w:rsid w:val="006D10A2"/>
    <w:rsid w:val="00820FE6"/>
    <w:rsid w:val="0083589E"/>
    <w:rsid w:val="008D1E0F"/>
    <w:rsid w:val="009518A9"/>
    <w:rsid w:val="00961B7B"/>
    <w:rsid w:val="00A00EA6"/>
    <w:rsid w:val="00A16295"/>
    <w:rsid w:val="00A47EA8"/>
    <w:rsid w:val="00A60F5B"/>
    <w:rsid w:val="00A61619"/>
    <w:rsid w:val="00AA7BC8"/>
    <w:rsid w:val="00BA7E5A"/>
    <w:rsid w:val="00C953F8"/>
    <w:rsid w:val="00D6083B"/>
    <w:rsid w:val="00D8456C"/>
    <w:rsid w:val="00D853DC"/>
    <w:rsid w:val="00E07812"/>
    <w:rsid w:val="00E6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B958"/>
  <w15:chartTrackingRefBased/>
  <w15:docId w15:val="{2F9927AD-A21B-4EBD-95CF-22A4D007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F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F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F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F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F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F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F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F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F4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96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398"/>
  </w:style>
  <w:style w:type="paragraph" w:styleId="Footer">
    <w:name w:val="footer"/>
    <w:basedOn w:val="Normal"/>
    <w:link w:val="FooterChar"/>
    <w:uiPriority w:val="99"/>
    <w:unhideWhenUsed/>
    <w:rsid w:val="0011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</dc:creator>
  <cp:keywords/>
  <dc:description/>
  <cp:lastModifiedBy>Anh Tuấn</cp:lastModifiedBy>
  <cp:revision>21</cp:revision>
  <dcterms:created xsi:type="dcterms:W3CDTF">2025-10-12T06:16:00Z</dcterms:created>
  <dcterms:modified xsi:type="dcterms:W3CDTF">2025-10-12T07:32:00Z</dcterms:modified>
</cp:coreProperties>
</file>