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41DB73" w14:textId="53324538" w:rsidR="00863BD6" w:rsidRDefault="00863BD6" w:rsidP="00863BD6">
      <w:r>
        <w:t xml:space="preserve">Team Members:  Andy Ho, </w:t>
      </w:r>
      <w:proofErr w:type="gramStart"/>
      <w:r>
        <w:t>An</w:t>
      </w:r>
      <w:proofErr w:type="gramEnd"/>
      <w:r>
        <w:t xml:space="preserve"> Nguyen, Matthew Norton</w:t>
      </w:r>
    </w:p>
    <w:p w14:paraId="748E6D12" w14:textId="1127741E" w:rsidR="00863BD6" w:rsidRDefault="00863BD6" w:rsidP="00863BD6">
      <w:r>
        <w:t xml:space="preserve">MSDS6371 – </w:t>
      </w:r>
      <w:proofErr w:type="spellStart"/>
      <w:r>
        <w:t>Kaggle</w:t>
      </w:r>
      <w:proofErr w:type="spellEnd"/>
      <w:r>
        <w:t xml:space="preserve"> Project – Assignment 13 and 14</w:t>
      </w:r>
    </w:p>
    <w:p w14:paraId="128EF3B0" w14:textId="319E59D2" w:rsidR="00863BD6" w:rsidRDefault="00863BD6" w:rsidP="00863BD6">
      <w:r>
        <w:t>Date: 8/12/18</w:t>
      </w:r>
    </w:p>
    <w:p w14:paraId="15941B9D" w14:textId="62285B79" w:rsidR="00B03CAA" w:rsidRDefault="00374A19" w:rsidP="00B03CAA">
      <w:pPr>
        <w:pStyle w:val="Heading1"/>
      </w:pPr>
      <w:r>
        <w:t>Introduction</w:t>
      </w:r>
    </w:p>
    <w:p w14:paraId="2ABFF922" w14:textId="77777777" w:rsidR="00002900" w:rsidRDefault="00002900"/>
    <w:p w14:paraId="3C202CAA" w14:textId="3FFDD37D" w:rsidR="00B03CAA" w:rsidRDefault="00374A19" w:rsidP="00002811">
      <w:pPr>
        <w:pStyle w:val="Heading2"/>
      </w:pPr>
      <w:r>
        <w:rPr>
          <w:rStyle w:val="Heading1Char"/>
        </w:rPr>
        <w:t xml:space="preserve">Data </w:t>
      </w:r>
      <w:r w:rsidR="00002900" w:rsidRPr="00B03CAA">
        <w:rPr>
          <w:rStyle w:val="Heading1Char"/>
        </w:rPr>
        <w:t>Descriptive Statistics</w:t>
      </w:r>
      <w:r w:rsidR="00002900">
        <w:t xml:space="preserve"> </w:t>
      </w:r>
    </w:p>
    <w:p w14:paraId="6C321BB2" w14:textId="4FE792EB" w:rsidR="003843CE" w:rsidRDefault="00374A19" w:rsidP="00B03CAA">
      <w:pPr>
        <w:pStyle w:val="ListParagraph"/>
        <w:numPr>
          <w:ilvl w:val="0"/>
          <w:numId w:val="2"/>
        </w:numPr>
      </w:pPr>
      <w:r>
        <w:t>File N</w:t>
      </w:r>
      <w:r w:rsidR="003843CE">
        <w:t>ame</w:t>
      </w:r>
    </w:p>
    <w:p w14:paraId="16760F73" w14:textId="19A7B279" w:rsidR="003843CE" w:rsidRDefault="00B03CAA" w:rsidP="003843CE">
      <w:pPr>
        <w:pStyle w:val="ListParagraph"/>
        <w:numPr>
          <w:ilvl w:val="1"/>
          <w:numId w:val="2"/>
        </w:numPr>
      </w:pPr>
      <w:r>
        <w:t>test.csv</w:t>
      </w:r>
      <w:r w:rsidR="003843CE">
        <w:t xml:space="preserve"> (461 KB)</w:t>
      </w:r>
    </w:p>
    <w:p w14:paraId="21C54DF1" w14:textId="51769D41" w:rsidR="00002900" w:rsidRDefault="00374A19" w:rsidP="003843CE">
      <w:pPr>
        <w:pStyle w:val="ListParagraph"/>
        <w:numPr>
          <w:ilvl w:val="1"/>
          <w:numId w:val="2"/>
        </w:numPr>
      </w:pPr>
      <w:r>
        <w:t>train.csv</w:t>
      </w:r>
      <w:r w:rsidR="003843CE">
        <w:t xml:space="preserve"> (461 KB)</w:t>
      </w:r>
    </w:p>
    <w:p w14:paraId="7DD1ED15" w14:textId="458DEBCA" w:rsidR="003843CE" w:rsidRDefault="00374A19" w:rsidP="003843CE">
      <w:pPr>
        <w:pStyle w:val="ListParagraph"/>
        <w:numPr>
          <w:ilvl w:val="0"/>
          <w:numId w:val="2"/>
        </w:numPr>
      </w:pPr>
      <w:r>
        <w:t>File Origin</w:t>
      </w:r>
    </w:p>
    <w:p w14:paraId="42E39A97" w14:textId="4C72386F" w:rsidR="00F95554" w:rsidRDefault="00DB4B3E" w:rsidP="00F95554">
      <w:pPr>
        <w:pStyle w:val="ListParagraph"/>
        <w:numPr>
          <w:ilvl w:val="1"/>
          <w:numId w:val="2"/>
        </w:numPr>
      </w:pPr>
      <w:hyperlink r:id="rId5" w:history="1">
        <w:r w:rsidR="00F95554" w:rsidRPr="000E444B">
          <w:rPr>
            <w:rStyle w:val="Hyperlink"/>
          </w:rPr>
          <w:t>https://www.kaggle.com/c/house-prices-advanced-regression-techniques/data</w:t>
        </w:r>
      </w:hyperlink>
    </w:p>
    <w:p w14:paraId="7B64CE86" w14:textId="5F0C9CC5" w:rsidR="003843CE" w:rsidRDefault="003843CE" w:rsidP="00B03CAA">
      <w:pPr>
        <w:pStyle w:val="ListParagraph"/>
        <w:numPr>
          <w:ilvl w:val="0"/>
          <w:numId w:val="2"/>
        </w:numPr>
      </w:pPr>
      <w:r>
        <w:t>Data Dimensions</w:t>
      </w:r>
    </w:p>
    <w:p w14:paraId="7D04C001" w14:textId="77777777" w:rsidR="003843CE" w:rsidRDefault="003843CE" w:rsidP="003843CE">
      <w:pPr>
        <w:pStyle w:val="ListParagraph"/>
      </w:pPr>
    </w:p>
    <w:tbl>
      <w:tblPr>
        <w:tblW w:w="4218" w:type="dxa"/>
        <w:tblInd w:w="1435" w:type="dxa"/>
        <w:tblLook w:val="04A0" w:firstRow="1" w:lastRow="0" w:firstColumn="1" w:lastColumn="0" w:noHBand="0" w:noVBand="1"/>
      </w:tblPr>
      <w:tblGrid>
        <w:gridCol w:w="1318"/>
        <w:gridCol w:w="1582"/>
        <w:gridCol w:w="1318"/>
      </w:tblGrid>
      <w:tr w:rsidR="003843CE" w:rsidRPr="003843CE" w14:paraId="032727CB" w14:textId="77777777" w:rsidTr="00F95554">
        <w:trPr>
          <w:trHeight w:val="327"/>
        </w:trPr>
        <w:tc>
          <w:tcPr>
            <w:tcW w:w="13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D93345" w14:textId="77777777" w:rsidR="003843CE" w:rsidRPr="003843CE" w:rsidRDefault="003843CE" w:rsidP="003843CE">
            <w:pPr>
              <w:jc w:val="center"/>
              <w:rPr>
                <w:rFonts w:ascii="Calibri" w:eastAsia="Times New Roman" w:hAnsi="Calibri" w:cs="Times New Roman"/>
                <w:color w:val="000000"/>
              </w:rPr>
            </w:pPr>
            <w:r w:rsidRPr="003843CE">
              <w:rPr>
                <w:rFonts w:ascii="Calibri" w:eastAsia="Times New Roman" w:hAnsi="Calibri" w:cs="Times New Roman"/>
                <w:color w:val="000000"/>
              </w:rPr>
              <w:t> </w:t>
            </w:r>
          </w:p>
        </w:tc>
        <w:tc>
          <w:tcPr>
            <w:tcW w:w="1582" w:type="dxa"/>
            <w:tcBorders>
              <w:top w:val="single" w:sz="4" w:space="0" w:color="auto"/>
              <w:left w:val="nil"/>
              <w:bottom w:val="single" w:sz="4" w:space="0" w:color="auto"/>
              <w:right w:val="single" w:sz="4" w:space="0" w:color="auto"/>
            </w:tcBorders>
            <w:shd w:val="clear" w:color="auto" w:fill="auto"/>
            <w:noWrap/>
            <w:vAlign w:val="bottom"/>
            <w:hideMark/>
          </w:tcPr>
          <w:p w14:paraId="4090CF49" w14:textId="77777777" w:rsidR="003843CE" w:rsidRPr="003843CE" w:rsidRDefault="003843CE" w:rsidP="003843CE">
            <w:pPr>
              <w:jc w:val="center"/>
              <w:rPr>
                <w:rFonts w:ascii="Calibri" w:eastAsia="Times New Roman" w:hAnsi="Calibri" w:cs="Times New Roman"/>
                <w:b/>
                <w:bCs/>
                <w:color w:val="000000"/>
              </w:rPr>
            </w:pPr>
            <w:r w:rsidRPr="003843CE">
              <w:rPr>
                <w:rFonts w:ascii="Calibri" w:eastAsia="Times New Roman" w:hAnsi="Calibri" w:cs="Times New Roman"/>
                <w:b/>
                <w:bCs/>
                <w:color w:val="000000"/>
              </w:rPr>
              <w:t>Observations</w:t>
            </w:r>
          </w:p>
        </w:tc>
        <w:tc>
          <w:tcPr>
            <w:tcW w:w="1318" w:type="dxa"/>
            <w:tcBorders>
              <w:top w:val="single" w:sz="4" w:space="0" w:color="auto"/>
              <w:left w:val="nil"/>
              <w:bottom w:val="single" w:sz="4" w:space="0" w:color="auto"/>
              <w:right w:val="single" w:sz="4" w:space="0" w:color="auto"/>
            </w:tcBorders>
            <w:shd w:val="clear" w:color="auto" w:fill="auto"/>
            <w:noWrap/>
            <w:vAlign w:val="bottom"/>
            <w:hideMark/>
          </w:tcPr>
          <w:p w14:paraId="0E6CE8AF" w14:textId="77777777" w:rsidR="003843CE" w:rsidRPr="003843CE" w:rsidRDefault="003843CE" w:rsidP="003843CE">
            <w:pPr>
              <w:jc w:val="center"/>
              <w:rPr>
                <w:rFonts w:ascii="Calibri" w:eastAsia="Times New Roman" w:hAnsi="Calibri" w:cs="Times New Roman"/>
                <w:b/>
                <w:bCs/>
                <w:color w:val="000000"/>
              </w:rPr>
            </w:pPr>
            <w:r w:rsidRPr="003843CE">
              <w:rPr>
                <w:rFonts w:ascii="Calibri" w:eastAsia="Times New Roman" w:hAnsi="Calibri" w:cs="Times New Roman"/>
                <w:b/>
                <w:bCs/>
                <w:color w:val="000000"/>
              </w:rPr>
              <w:t>Variables</w:t>
            </w:r>
          </w:p>
        </w:tc>
      </w:tr>
      <w:tr w:rsidR="003843CE" w:rsidRPr="003843CE" w14:paraId="480C694C" w14:textId="77777777" w:rsidTr="00F95554">
        <w:trPr>
          <w:trHeight w:val="368"/>
        </w:trPr>
        <w:tc>
          <w:tcPr>
            <w:tcW w:w="1318" w:type="dxa"/>
            <w:tcBorders>
              <w:top w:val="nil"/>
              <w:left w:val="single" w:sz="4" w:space="0" w:color="auto"/>
              <w:bottom w:val="single" w:sz="4" w:space="0" w:color="auto"/>
              <w:right w:val="single" w:sz="4" w:space="0" w:color="auto"/>
            </w:tcBorders>
            <w:shd w:val="clear" w:color="auto" w:fill="auto"/>
            <w:noWrap/>
            <w:vAlign w:val="bottom"/>
            <w:hideMark/>
          </w:tcPr>
          <w:p w14:paraId="102E3C4A" w14:textId="77777777" w:rsidR="003843CE" w:rsidRPr="003843CE" w:rsidRDefault="003843CE" w:rsidP="003843CE">
            <w:pPr>
              <w:jc w:val="center"/>
              <w:rPr>
                <w:rFonts w:ascii="Calibri" w:eastAsia="Times New Roman" w:hAnsi="Calibri" w:cs="Times New Roman"/>
                <w:b/>
                <w:bCs/>
                <w:color w:val="000000"/>
              </w:rPr>
            </w:pPr>
            <w:r w:rsidRPr="003843CE">
              <w:rPr>
                <w:rFonts w:ascii="Calibri" w:eastAsia="Times New Roman" w:hAnsi="Calibri" w:cs="Times New Roman"/>
                <w:b/>
                <w:bCs/>
                <w:color w:val="000000"/>
              </w:rPr>
              <w:t>Train</w:t>
            </w:r>
          </w:p>
        </w:tc>
        <w:tc>
          <w:tcPr>
            <w:tcW w:w="1582" w:type="dxa"/>
            <w:tcBorders>
              <w:top w:val="nil"/>
              <w:left w:val="nil"/>
              <w:bottom w:val="single" w:sz="4" w:space="0" w:color="auto"/>
              <w:right w:val="single" w:sz="4" w:space="0" w:color="auto"/>
            </w:tcBorders>
            <w:shd w:val="clear" w:color="auto" w:fill="auto"/>
            <w:noWrap/>
            <w:vAlign w:val="bottom"/>
            <w:hideMark/>
          </w:tcPr>
          <w:p w14:paraId="58CB966F" w14:textId="77777777" w:rsidR="003843CE" w:rsidRPr="003843CE" w:rsidRDefault="003843CE" w:rsidP="003843CE">
            <w:pPr>
              <w:jc w:val="center"/>
              <w:rPr>
                <w:rFonts w:ascii="Calibri" w:eastAsia="Times New Roman" w:hAnsi="Calibri" w:cs="Times New Roman"/>
                <w:color w:val="000000"/>
              </w:rPr>
            </w:pPr>
            <w:r w:rsidRPr="003843CE">
              <w:rPr>
                <w:rFonts w:ascii="Calibri" w:eastAsia="Times New Roman" w:hAnsi="Calibri" w:cs="Times New Roman"/>
                <w:color w:val="000000"/>
              </w:rPr>
              <w:t>1460</w:t>
            </w:r>
          </w:p>
        </w:tc>
        <w:tc>
          <w:tcPr>
            <w:tcW w:w="1318" w:type="dxa"/>
            <w:tcBorders>
              <w:top w:val="nil"/>
              <w:left w:val="nil"/>
              <w:bottom w:val="single" w:sz="4" w:space="0" w:color="auto"/>
              <w:right w:val="single" w:sz="4" w:space="0" w:color="auto"/>
            </w:tcBorders>
            <w:shd w:val="clear" w:color="auto" w:fill="auto"/>
            <w:noWrap/>
            <w:vAlign w:val="bottom"/>
            <w:hideMark/>
          </w:tcPr>
          <w:p w14:paraId="15570FF8" w14:textId="77777777" w:rsidR="003843CE" w:rsidRPr="003843CE" w:rsidRDefault="003843CE" w:rsidP="003843CE">
            <w:pPr>
              <w:jc w:val="center"/>
              <w:rPr>
                <w:rFonts w:ascii="Calibri" w:eastAsia="Times New Roman" w:hAnsi="Calibri" w:cs="Times New Roman"/>
                <w:color w:val="000000"/>
              </w:rPr>
            </w:pPr>
            <w:r w:rsidRPr="003843CE">
              <w:rPr>
                <w:rFonts w:ascii="Calibri" w:eastAsia="Times New Roman" w:hAnsi="Calibri" w:cs="Times New Roman"/>
                <w:color w:val="000000"/>
              </w:rPr>
              <w:t>81</w:t>
            </w:r>
          </w:p>
        </w:tc>
      </w:tr>
      <w:tr w:rsidR="003843CE" w:rsidRPr="003843CE" w14:paraId="7D6273A9" w14:textId="77777777" w:rsidTr="00F95554">
        <w:trPr>
          <w:trHeight w:val="327"/>
        </w:trPr>
        <w:tc>
          <w:tcPr>
            <w:tcW w:w="1318" w:type="dxa"/>
            <w:tcBorders>
              <w:top w:val="nil"/>
              <w:left w:val="single" w:sz="4" w:space="0" w:color="auto"/>
              <w:bottom w:val="single" w:sz="4" w:space="0" w:color="auto"/>
              <w:right w:val="single" w:sz="4" w:space="0" w:color="auto"/>
            </w:tcBorders>
            <w:shd w:val="clear" w:color="auto" w:fill="auto"/>
            <w:noWrap/>
            <w:vAlign w:val="bottom"/>
            <w:hideMark/>
          </w:tcPr>
          <w:p w14:paraId="1F305809" w14:textId="77777777" w:rsidR="003843CE" w:rsidRPr="003843CE" w:rsidRDefault="003843CE" w:rsidP="003843CE">
            <w:pPr>
              <w:jc w:val="center"/>
              <w:rPr>
                <w:rFonts w:ascii="Calibri" w:eastAsia="Times New Roman" w:hAnsi="Calibri" w:cs="Times New Roman"/>
                <w:b/>
                <w:bCs/>
                <w:color w:val="000000"/>
              </w:rPr>
            </w:pPr>
            <w:r w:rsidRPr="003843CE">
              <w:rPr>
                <w:rFonts w:ascii="Calibri" w:eastAsia="Times New Roman" w:hAnsi="Calibri" w:cs="Times New Roman"/>
                <w:b/>
                <w:bCs/>
                <w:color w:val="000000"/>
              </w:rPr>
              <w:t>Test</w:t>
            </w:r>
          </w:p>
        </w:tc>
        <w:tc>
          <w:tcPr>
            <w:tcW w:w="1582" w:type="dxa"/>
            <w:tcBorders>
              <w:top w:val="nil"/>
              <w:left w:val="nil"/>
              <w:bottom w:val="single" w:sz="4" w:space="0" w:color="auto"/>
              <w:right w:val="single" w:sz="4" w:space="0" w:color="auto"/>
            </w:tcBorders>
            <w:shd w:val="clear" w:color="auto" w:fill="auto"/>
            <w:noWrap/>
            <w:vAlign w:val="bottom"/>
            <w:hideMark/>
          </w:tcPr>
          <w:p w14:paraId="1CAE196E" w14:textId="77777777" w:rsidR="003843CE" w:rsidRPr="003843CE" w:rsidRDefault="003843CE" w:rsidP="003843CE">
            <w:pPr>
              <w:jc w:val="center"/>
              <w:rPr>
                <w:rFonts w:ascii="Calibri" w:eastAsia="Times New Roman" w:hAnsi="Calibri" w:cs="Times New Roman"/>
                <w:color w:val="000000"/>
              </w:rPr>
            </w:pPr>
            <w:r w:rsidRPr="003843CE">
              <w:rPr>
                <w:rFonts w:ascii="Calibri" w:eastAsia="Times New Roman" w:hAnsi="Calibri" w:cs="Times New Roman"/>
                <w:color w:val="000000"/>
              </w:rPr>
              <w:t>1459</w:t>
            </w:r>
          </w:p>
        </w:tc>
        <w:tc>
          <w:tcPr>
            <w:tcW w:w="1318" w:type="dxa"/>
            <w:tcBorders>
              <w:top w:val="nil"/>
              <w:left w:val="nil"/>
              <w:bottom w:val="single" w:sz="4" w:space="0" w:color="auto"/>
              <w:right w:val="single" w:sz="4" w:space="0" w:color="auto"/>
            </w:tcBorders>
            <w:shd w:val="clear" w:color="auto" w:fill="auto"/>
            <w:noWrap/>
            <w:vAlign w:val="bottom"/>
            <w:hideMark/>
          </w:tcPr>
          <w:p w14:paraId="5E12415D" w14:textId="77777777" w:rsidR="003843CE" w:rsidRPr="003843CE" w:rsidRDefault="003843CE" w:rsidP="003843CE">
            <w:pPr>
              <w:jc w:val="center"/>
              <w:rPr>
                <w:rFonts w:ascii="Calibri" w:eastAsia="Times New Roman" w:hAnsi="Calibri" w:cs="Times New Roman"/>
                <w:color w:val="000000"/>
              </w:rPr>
            </w:pPr>
            <w:r w:rsidRPr="003843CE">
              <w:rPr>
                <w:rFonts w:ascii="Calibri" w:eastAsia="Times New Roman" w:hAnsi="Calibri" w:cs="Times New Roman"/>
                <w:color w:val="000000"/>
              </w:rPr>
              <w:t>80</w:t>
            </w:r>
          </w:p>
        </w:tc>
      </w:tr>
    </w:tbl>
    <w:p w14:paraId="596DC4BF" w14:textId="77777777" w:rsidR="003843CE" w:rsidRDefault="003843CE" w:rsidP="003843CE"/>
    <w:p w14:paraId="6553EA5B" w14:textId="32A13176" w:rsidR="003843CE" w:rsidRDefault="00BC4CA3" w:rsidP="00B03CAA">
      <w:pPr>
        <w:pStyle w:val="ListParagraph"/>
        <w:numPr>
          <w:ilvl w:val="0"/>
          <w:numId w:val="2"/>
        </w:numPr>
      </w:pPr>
      <w:r>
        <w:t xml:space="preserve">Selected </w:t>
      </w:r>
      <w:r w:rsidR="003843CE">
        <w:t>Variables</w:t>
      </w:r>
    </w:p>
    <w:p w14:paraId="4E7BA386" w14:textId="2AC6D655" w:rsidR="003843CE" w:rsidRDefault="003843CE" w:rsidP="003843CE">
      <w:pPr>
        <w:pStyle w:val="ListParagraph"/>
        <w:numPr>
          <w:ilvl w:val="1"/>
          <w:numId w:val="2"/>
        </w:numPr>
      </w:pPr>
      <w:r>
        <w:t>Analysis 1</w:t>
      </w:r>
    </w:p>
    <w:p w14:paraId="1DA20090" w14:textId="77777777" w:rsidR="00B477F9" w:rsidRPr="00B477F9" w:rsidRDefault="00B477F9" w:rsidP="00B477F9">
      <w:pPr>
        <w:pStyle w:val="ListParagraph"/>
        <w:numPr>
          <w:ilvl w:val="2"/>
          <w:numId w:val="2"/>
        </w:numPr>
        <w:rPr>
          <w:rFonts w:eastAsia="Times New Roman" w:cs="Times New Roman"/>
        </w:rPr>
      </w:pPr>
      <w:proofErr w:type="spellStart"/>
      <w:r w:rsidRPr="00B477F9">
        <w:rPr>
          <w:rFonts w:eastAsia="Times New Roman" w:cs="Times New Roman"/>
          <w:b/>
          <w:bCs/>
        </w:rPr>
        <w:t>SalePrice</w:t>
      </w:r>
      <w:proofErr w:type="spellEnd"/>
      <w:r w:rsidRPr="00B477F9">
        <w:rPr>
          <w:rFonts w:eastAsia="Times New Roman" w:cs="Times New Roman"/>
        </w:rPr>
        <w:t xml:space="preserve"> - the property's sale price in dollars. This is the target variable that you're trying to predict.</w:t>
      </w:r>
    </w:p>
    <w:p w14:paraId="5E2E2178" w14:textId="5D8C6A70" w:rsidR="003843CE" w:rsidRPr="00B477F9" w:rsidRDefault="00B477F9" w:rsidP="00B477F9">
      <w:pPr>
        <w:pStyle w:val="ListParagraph"/>
        <w:numPr>
          <w:ilvl w:val="2"/>
          <w:numId w:val="2"/>
        </w:numPr>
        <w:rPr>
          <w:rFonts w:eastAsia="Times New Roman" w:cs="Times New Roman"/>
        </w:rPr>
      </w:pPr>
      <w:proofErr w:type="spellStart"/>
      <w:r w:rsidRPr="00B477F9">
        <w:rPr>
          <w:rFonts w:eastAsia="Times New Roman" w:cs="Times New Roman"/>
          <w:b/>
          <w:bCs/>
        </w:rPr>
        <w:t>GrLivArea</w:t>
      </w:r>
      <w:proofErr w:type="spellEnd"/>
      <w:r w:rsidRPr="00B477F9">
        <w:rPr>
          <w:rFonts w:eastAsia="Times New Roman" w:cs="Times New Roman"/>
        </w:rPr>
        <w:t>: Above grade (ground) living area square feet</w:t>
      </w:r>
    </w:p>
    <w:p w14:paraId="476A3B57" w14:textId="652DE0E6" w:rsidR="003843CE" w:rsidRDefault="003843CE" w:rsidP="003843CE">
      <w:pPr>
        <w:pStyle w:val="ListParagraph"/>
        <w:numPr>
          <w:ilvl w:val="1"/>
          <w:numId w:val="2"/>
        </w:numPr>
      </w:pPr>
      <w:r>
        <w:t>Analysis 2</w:t>
      </w:r>
    </w:p>
    <w:p w14:paraId="41CAA41E" w14:textId="1B30CE6F" w:rsidR="00F75966" w:rsidRDefault="003843CE" w:rsidP="00F75966">
      <w:pPr>
        <w:pStyle w:val="ListParagraph"/>
        <w:numPr>
          <w:ilvl w:val="2"/>
          <w:numId w:val="2"/>
        </w:numPr>
      </w:pPr>
      <w:r>
        <w:t>&lt;need to input&gt;</w:t>
      </w:r>
    </w:p>
    <w:p w14:paraId="1606E8B2" w14:textId="2219A751" w:rsidR="00F75966" w:rsidRPr="00CC539D" w:rsidRDefault="00F75966" w:rsidP="00F75966">
      <w:pPr>
        <w:pStyle w:val="Heading1"/>
        <w:rPr>
          <w:u w:val="single"/>
        </w:rPr>
      </w:pPr>
      <w:r w:rsidRPr="00CC539D">
        <w:rPr>
          <w:u w:val="single"/>
        </w:rPr>
        <w:t>Analysis 1</w:t>
      </w:r>
    </w:p>
    <w:p w14:paraId="51856BEF" w14:textId="77777777" w:rsidR="00D9091C" w:rsidRDefault="00D9091C" w:rsidP="00D9091C"/>
    <w:p w14:paraId="068A95E1" w14:textId="7EE89186" w:rsidR="00D9091C" w:rsidRDefault="00D9091C" w:rsidP="00D9091C">
      <w:pPr>
        <w:pStyle w:val="Heading2"/>
      </w:pPr>
      <w:r>
        <w:t>Introduction</w:t>
      </w:r>
    </w:p>
    <w:p w14:paraId="3B23CCF9" w14:textId="77777777" w:rsidR="00D9091C" w:rsidRPr="00374A19" w:rsidRDefault="00D9091C" w:rsidP="00D9091C">
      <w:r>
        <w:t xml:space="preserve">Century 21 Ames only sells home in </w:t>
      </w:r>
      <w:proofErr w:type="spellStart"/>
      <w:r>
        <w:t>NAmes</w:t>
      </w:r>
      <w:proofErr w:type="spellEnd"/>
      <w:r>
        <w:t xml:space="preserve">, Edwards, and </w:t>
      </w:r>
      <w:proofErr w:type="spellStart"/>
      <w:r>
        <w:t>BrkSide</w:t>
      </w:r>
      <w:proofErr w:type="spellEnd"/>
      <w:r>
        <w:t xml:space="preserve"> neighborhoods and would like to get an estimate of how the </w:t>
      </w:r>
      <w:proofErr w:type="spellStart"/>
      <w:r>
        <w:t>SalePrice</w:t>
      </w:r>
      <w:proofErr w:type="spellEnd"/>
      <w:r>
        <w:t xml:space="preserve"> of each house is related to the square footage of the living area of the house (</w:t>
      </w:r>
      <w:proofErr w:type="spellStart"/>
      <w:r>
        <w:t>GrLivArea</w:t>
      </w:r>
      <w:proofErr w:type="spellEnd"/>
      <w:r>
        <w:t xml:space="preserve">) and if the </w:t>
      </w:r>
      <w:proofErr w:type="spellStart"/>
      <w:r>
        <w:t>SalesPrice</w:t>
      </w:r>
      <w:proofErr w:type="spellEnd"/>
      <w:r>
        <w:t xml:space="preserve"> (and its relationship to square footage) depends on which neighborhood the house is located. This portion of the report will build a model with the provided dataset and provide our conclusion that quantifies the relationship between living area and sale price with respect to the three neighborhoods.</w:t>
      </w:r>
    </w:p>
    <w:p w14:paraId="7D410A06" w14:textId="77777777" w:rsidR="00D9091C" w:rsidRPr="00D9091C" w:rsidRDefault="00D9091C" w:rsidP="00D9091C"/>
    <w:p w14:paraId="395D824B" w14:textId="79D16487" w:rsidR="00002900" w:rsidRDefault="00963755" w:rsidP="00002900">
      <w:pPr>
        <w:pStyle w:val="ListParagraph"/>
        <w:numPr>
          <w:ilvl w:val="0"/>
          <w:numId w:val="2"/>
        </w:numPr>
      </w:pPr>
      <w:r>
        <w:t>Averages by neighborhoods and all three combined</w:t>
      </w:r>
    </w:p>
    <w:p w14:paraId="2A1017F1" w14:textId="77777777" w:rsidR="00496AD4" w:rsidRDefault="00496AD4"/>
    <w:tbl>
      <w:tblPr>
        <w:tblW w:w="9680" w:type="dxa"/>
        <w:tblLook w:val="04A0" w:firstRow="1" w:lastRow="0" w:firstColumn="1" w:lastColumn="0" w:noHBand="0" w:noVBand="1"/>
      </w:tblPr>
      <w:tblGrid>
        <w:gridCol w:w="2420"/>
        <w:gridCol w:w="2420"/>
        <w:gridCol w:w="2420"/>
        <w:gridCol w:w="2420"/>
      </w:tblGrid>
      <w:tr w:rsidR="00963755" w:rsidRPr="00963755" w14:paraId="20577E7D" w14:textId="77777777" w:rsidTr="00963755">
        <w:trPr>
          <w:trHeight w:val="320"/>
        </w:trPr>
        <w:tc>
          <w:tcPr>
            <w:tcW w:w="2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E2F3DB" w14:textId="77777777" w:rsidR="00963755" w:rsidRPr="00963755" w:rsidRDefault="00963755" w:rsidP="00963755">
            <w:pPr>
              <w:jc w:val="center"/>
              <w:rPr>
                <w:rFonts w:ascii="Calibri" w:eastAsia="Times New Roman" w:hAnsi="Calibri" w:cs="Times New Roman"/>
                <w:b/>
                <w:bCs/>
                <w:color w:val="000000"/>
              </w:rPr>
            </w:pPr>
            <w:r w:rsidRPr="00963755">
              <w:rPr>
                <w:rFonts w:ascii="Calibri" w:eastAsia="Times New Roman" w:hAnsi="Calibri" w:cs="Times New Roman"/>
                <w:b/>
                <w:bCs/>
                <w:color w:val="000000"/>
              </w:rPr>
              <w:t>Neighborhood</w:t>
            </w:r>
          </w:p>
        </w:tc>
        <w:tc>
          <w:tcPr>
            <w:tcW w:w="2420" w:type="dxa"/>
            <w:tcBorders>
              <w:top w:val="single" w:sz="4" w:space="0" w:color="auto"/>
              <w:left w:val="nil"/>
              <w:bottom w:val="single" w:sz="4" w:space="0" w:color="auto"/>
              <w:right w:val="single" w:sz="4" w:space="0" w:color="auto"/>
            </w:tcBorders>
            <w:shd w:val="clear" w:color="auto" w:fill="auto"/>
            <w:noWrap/>
            <w:vAlign w:val="bottom"/>
            <w:hideMark/>
          </w:tcPr>
          <w:p w14:paraId="76B1DD57" w14:textId="77777777" w:rsidR="00963755" w:rsidRPr="00963755" w:rsidRDefault="00963755" w:rsidP="00963755">
            <w:pPr>
              <w:jc w:val="center"/>
              <w:rPr>
                <w:rFonts w:ascii="Calibri" w:eastAsia="Times New Roman" w:hAnsi="Calibri" w:cs="Times New Roman"/>
                <w:b/>
                <w:bCs/>
                <w:color w:val="000000"/>
              </w:rPr>
            </w:pPr>
            <w:r w:rsidRPr="00963755">
              <w:rPr>
                <w:rFonts w:ascii="Calibri" w:eastAsia="Times New Roman" w:hAnsi="Calibri" w:cs="Times New Roman"/>
                <w:b/>
                <w:bCs/>
                <w:color w:val="000000"/>
              </w:rPr>
              <w:t>Number of Properties</w:t>
            </w:r>
          </w:p>
        </w:tc>
        <w:tc>
          <w:tcPr>
            <w:tcW w:w="2420" w:type="dxa"/>
            <w:tcBorders>
              <w:top w:val="single" w:sz="4" w:space="0" w:color="auto"/>
              <w:left w:val="nil"/>
              <w:bottom w:val="single" w:sz="4" w:space="0" w:color="auto"/>
              <w:right w:val="single" w:sz="4" w:space="0" w:color="auto"/>
            </w:tcBorders>
            <w:shd w:val="clear" w:color="auto" w:fill="auto"/>
            <w:noWrap/>
            <w:vAlign w:val="bottom"/>
            <w:hideMark/>
          </w:tcPr>
          <w:p w14:paraId="20854912" w14:textId="77777777" w:rsidR="00963755" w:rsidRPr="00963755" w:rsidRDefault="00963755" w:rsidP="00963755">
            <w:pPr>
              <w:jc w:val="center"/>
              <w:rPr>
                <w:rFonts w:ascii="Calibri" w:eastAsia="Times New Roman" w:hAnsi="Calibri" w:cs="Times New Roman"/>
                <w:b/>
                <w:bCs/>
                <w:color w:val="000000"/>
              </w:rPr>
            </w:pPr>
            <w:r w:rsidRPr="00963755">
              <w:rPr>
                <w:rFonts w:ascii="Calibri" w:eastAsia="Times New Roman" w:hAnsi="Calibri" w:cs="Times New Roman"/>
                <w:b/>
                <w:bCs/>
                <w:color w:val="000000"/>
              </w:rPr>
              <w:t>Avg. Living Area</w:t>
            </w:r>
          </w:p>
        </w:tc>
        <w:tc>
          <w:tcPr>
            <w:tcW w:w="2420" w:type="dxa"/>
            <w:tcBorders>
              <w:top w:val="single" w:sz="4" w:space="0" w:color="auto"/>
              <w:left w:val="nil"/>
              <w:bottom w:val="single" w:sz="4" w:space="0" w:color="auto"/>
              <w:right w:val="single" w:sz="4" w:space="0" w:color="auto"/>
            </w:tcBorders>
            <w:shd w:val="clear" w:color="auto" w:fill="auto"/>
            <w:noWrap/>
            <w:vAlign w:val="bottom"/>
            <w:hideMark/>
          </w:tcPr>
          <w:p w14:paraId="3450F1C2" w14:textId="77777777" w:rsidR="00963755" w:rsidRPr="00963755" w:rsidRDefault="00963755" w:rsidP="00963755">
            <w:pPr>
              <w:jc w:val="center"/>
              <w:rPr>
                <w:rFonts w:ascii="Calibri" w:eastAsia="Times New Roman" w:hAnsi="Calibri" w:cs="Times New Roman"/>
                <w:b/>
                <w:bCs/>
                <w:color w:val="000000"/>
              </w:rPr>
            </w:pPr>
            <w:r w:rsidRPr="00963755">
              <w:rPr>
                <w:rFonts w:ascii="Calibri" w:eastAsia="Times New Roman" w:hAnsi="Calibri" w:cs="Times New Roman"/>
                <w:b/>
                <w:bCs/>
                <w:color w:val="000000"/>
              </w:rPr>
              <w:t>Avg. Sale Price</w:t>
            </w:r>
          </w:p>
        </w:tc>
      </w:tr>
      <w:tr w:rsidR="00963755" w:rsidRPr="00963755" w14:paraId="150CC98A" w14:textId="77777777" w:rsidTr="00963755">
        <w:trPr>
          <w:trHeight w:val="320"/>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579C412C" w14:textId="77777777" w:rsidR="00963755" w:rsidRPr="00963755" w:rsidRDefault="00963755" w:rsidP="00963755">
            <w:pPr>
              <w:jc w:val="center"/>
              <w:rPr>
                <w:rFonts w:ascii="Calibri" w:eastAsia="Times New Roman" w:hAnsi="Calibri" w:cs="Times New Roman"/>
                <w:color w:val="000000"/>
              </w:rPr>
            </w:pPr>
            <w:proofErr w:type="spellStart"/>
            <w:r w:rsidRPr="00963755">
              <w:rPr>
                <w:rFonts w:ascii="Calibri" w:eastAsia="Times New Roman" w:hAnsi="Calibri" w:cs="Times New Roman"/>
                <w:color w:val="000000"/>
              </w:rPr>
              <w:t>NAmes</w:t>
            </w:r>
            <w:proofErr w:type="spellEnd"/>
          </w:p>
        </w:tc>
        <w:tc>
          <w:tcPr>
            <w:tcW w:w="2420" w:type="dxa"/>
            <w:tcBorders>
              <w:top w:val="nil"/>
              <w:left w:val="nil"/>
              <w:bottom w:val="single" w:sz="4" w:space="0" w:color="auto"/>
              <w:right w:val="single" w:sz="4" w:space="0" w:color="auto"/>
            </w:tcBorders>
            <w:shd w:val="clear" w:color="auto" w:fill="auto"/>
            <w:noWrap/>
            <w:vAlign w:val="bottom"/>
            <w:hideMark/>
          </w:tcPr>
          <w:p w14:paraId="207D24EE" w14:textId="77777777" w:rsidR="00963755" w:rsidRPr="00963755" w:rsidRDefault="00963755" w:rsidP="00963755">
            <w:pPr>
              <w:jc w:val="center"/>
              <w:rPr>
                <w:rFonts w:ascii="Calibri" w:eastAsia="Times New Roman" w:hAnsi="Calibri" w:cs="Times New Roman"/>
                <w:color w:val="000000"/>
              </w:rPr>
            </w:pPr>
            <w:r w:rsidRPr="00963755">
              <w:rPr>
                <w:rFonts w:ascii="Calibri" w:eastAsia="Times New Roman" w:hAnsi="Calibri" w:cs="Times New Roman"/>
                <w:color w:val="000000"/>
              </w:rPr>
              <w:t>225</w:t>
            </w:r>
          </w:p>
        </w:tc>
        <w:tc>
          <w:tcPr>
            <w:tcW w:w="2420" w:type="dxa"/>
            <w:tcBorders>
              <w:top w:val="nil"/>
              <w:left w:val="nil"/>
              <w:bottom w:val="single" w:sz="4" w:space="0" w:color="auto"/>
              <w:right w:val="single" w:sz="4" w:space="0" w:color="auto"/>
            </w:tcBorders>
            <w:shd w:val="clear" w:color="auto" w:fill="auto"/>
            <w:noWrap/>
            <w:vAlign w:val="bottom"/>
            <w:hideMark/>
          </w:tcPr>
          <w:p w14:paraId="7BFE802B" w14:textId="77777777" w:rsidR="00963755" w:rsidRPr="00963755" w:rsidRDefault="00963755" w:rsidP="00963755">
            <w:pPr>
              <w:jc w:val="center"/>
              <w:rPr>
                <w:rFonts w:ascii="Calibri" w:eastAsia="Times New Roman" w:hAnsi="Calibri" w:cs="Times New Roman"/>
                <w:color w:val="000000"/>
              </w:rPr>
            </w:pPr>
            <w:r w:rsidRPr="00963755">
              <w:rPr>
                <w:rFonts w:ascii="Calibri" w:eastAsia="Times New Roman" w:hAnsi="Calibri" w:cs="Times New Roman"/>
                <w:color w:val="000000"/>
              </w:rPr>
              <w:t>1310.31</w:t>
            </w:r>
          </w:p>
        </w:tc>
        <w:tc>
          <w:tcPr>
            <w:tcW w:w="2420" w:type="dxa"/>
            <w:tcBorders>
              <w:top w:val="nil"/>
              <w:left w:val="nil"/>
              <w:bottom w:val="single" w:sz="4" w:space="0" w:color="auto"/>
              <w:right w:val="single" w:sz="4" w:space="0" w:color="auto"/>
            </w:tcBorders>
            <w:shd w:val="clear" w:color="auto" w:fill="auto"/>
            <w:noWrap/>
            <w:vAlign w:val="bottom"/>
            <w:hideMark/>
          </w:tcPr>
          <w:p w14:paraId="6D87FD49" w14:textId="77777777" w:rsidR="00963755" w:rsidRPr="00963755" w:rsidRDefault="00963755" w:rsidP="00963755">
            <w:pPr>
              <w:jc w:val="center"/>
              <w:rPr>
                <w:rFonts w:ascii="Calibri" w:eastAsia="Times New Roman" w:hAnsi="Calibri" w:cs="Times New Roman"/>
                <w:color w:val="000000"/>
              </w:rPr>
            </w:pPr>
            <w:r w:rsidRPr="00963755">
              <w:rPr>
                <w:rFonts w:ascii="Calibri" w:eastAsia="Times New Roman" w:hAnsi="Calibri" w:cs="Times New Roman"/>
                <w:color w:val="000000"/>
              </w:rPr>
              <w:t xml:space="preserve"> $145,847.08 </w:t>
            </w:r>
          </w:p>
        </w:tc>
      </w:tr>
      <w:tr w:rsidR="00963755" w:rsidRPr="00963755" w14:paraId="2F3BC4DA" w14:textId="77777777" w:rsidTr="00963755">
        <w:trPr>
          <w:trHeight w:val="320"/>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269C7BE4" w14:textId="77777777" w:rsidR="00963755" w:rsidRPr="00963755" w:rsidRDefault="00963755" w:rsidP="00963755">
            <w:pPr>
              <w:jc w:val="center"/>
              <w:rPr>
                <w:rFonts w:ascii="Calibri" w:eastAsia="Times New Roman" w:hAnsi="Calibri" w:cs="Times New Roman"/>
                <w:color w:val="000000"/>
              </w:rPr>
            </w:pPr>
            <w:r w:rsidRPr="00963755">
              <w:rPr>
                <w:rFonts w:ascii="Calibri" w:eastAsia="Times New Roman" w:hAnsi="Calibri" w:cs="Times New Roman"/>
                <w:color w:val="000000"/>
              </w:rPr>
              <w:t>Edwards</w:t>
            </w:r>
          </w:p>
        </w:tc>
        <w:tc>
          <w:tcPr>
            <w:tcW w:w="2420" w:type="dxa"/>
            <w:tcBorders>
              <w:top w:val="nil"/>
              <w:left w:val="nil"/>
              <w:bottom w:val="single" w:sz="4" w:space="0" w:color="auto"/>
              <w:right w:val="single" w:sz="4" w:space="0" w:color="auto"/>
            </w:tcBorders>
            <w:shd w:val="clear" w:color="auto" w:fill="auto"/>
            <w:noWrap/>
            <w:vAlign w:val="bottom"/>
            <w:hideMark/>
          </w:tcPr>
          <w:p w14:paraId="5C499B9D" w14:textId="77777777" w:rsidR="00963755" w:rsidRPr="00963755" w:rsidRDefault="00963755" w:rsidP="00963755">
            <w:pPr>
              <w:jc w:val="center"/>
              <w:rPr>
                <w:rFonts w:ascii="Calibri" w:eastAsia="Times New Roman" w:hAnsi="Calibri" w:cs="Times New Roman"/>
                <w:color w:val="000000"/>
              </w:rPr>
            </w:pPr>
            <w:r w:rsidRPr="00963755">
              <w:rPr>
                <w:rFonts w:ascii="Calibri" w:eastAsia="Times New Roman" w:hAnsi="Calibri" w:cs="Times New Roman"/>
                <w:color w:val="000000"/>
              </w:rPr>
              <w:t>100</w:t>
            </w:r>
          </w:p>
        </w:tc>
        <w:tc>
          <w:tcPr>
            <w:tcW w:w="2420" w:type="dxa"/>
            <w:tcBorders>
              <w:top w:val="nil"/>
              <w:left w:val="nil"/>
              <w:bottom w:val="single" w:sz="4" w:space="0" w:color="auto"/>
              <w:right w:val="single" w:sz="4" w:space="0" w:color="auto"/>
            </w:tcBorders>
            <w:shd w:val="clear" w:color="auto" w:fill="auto"/>
            <w:noWrap/>
            <w:vAlign w:val="bottom"/>
            <w:hideMark/>
          </w:tcPr>
          <w:p w14:paraId="0EE3C24F" w14:textId="77777777" w:rsidR="00963755" w:rsidRPr="00963755" w:rsidRDefault="00963755" w:rsidP="00963755">
            <w:pPr>
              <w:jc w:val="center"/>
              <w:rPr>
                <w:rFonts w:ascii="Calibri" w:eastAsia="Times New Roman" w:hAnsi="Calibri" w:cs="Times New Roman"/>
                <w:color w:val="000000"/>
              </w:rPr>
            </w:pPr>
            <w:r w:rsidRPr="00963755">
              <w:rPr>
                <w:rFonts w:ascii="Calibri" w:eastAsia="Times New Roman" w:hAnsi="Calibri" w:cs="Times New Roman"/>
                <w:color w:val="000000"/>
              </w:rPr>
              <w:t>1340.04</w:t>
            </w:r>
          </w:p>
        </w:tc>
        <w:tc>
          <w:tcPr>
            <w:tcW w:w="2420" w:type="dxa"/>
            <w:tcBorders>
              <w:top w:val="nil"/>
              <w:left w:val="nil"/>
              <w:bottom w:val="single" w:sz="4" w:space="0" w:color="auto"/>
              <w:right w:val="single" w:sz="4" w:space="0" w:color="auto"/>
            </w:tcBorders>
            <w:shd w:val="clear" w:color="auto" w:fill="auto"/>
            <w:noWrap/>
            <w:vAlign w:val="bottom"/>
            <w:hideMark/>
          </w:tcPr>
          <w:p w14:paraId="52A2163B" w14:textId="77777777" w:rsidR="00963755" w:rsidRPr="00963755" w:rsidRDefault="00963755" w:rsidP="00963755">
            <w:pPr>
              <w:jc w:val="center"/>
              <w:rPr>
                <w:rFonts w:ascii="Calibri" w:eastAsia="Times New Roman" w:hAnsi="Calibri" w:cs="Times New Roman"/>
                <w:color w:val="000000"/>
              </w:rPr>
            </w:pPr>
            <w:r w:rsidRPr="00963755">
              <w:rPr>
                <w:rFonts w:ascii="Calibri" w:eastAsia="Times New Roman" w:hAnsi="Calibri" w:cs="Times New Roman"/>
                <w:color w:val="000000"/>
              </w:rPr>
              <w:t xml:space="preserve"> $128,219.70 </w:t>
            </w:r>
          </w:p>
        </w:tc>
      </w:tr>
      <w:tr w:rsidR="00963755" w:rsidRPr="00963755" w14:paraId="46F3E5DD" w14:textId="77777777" w:rsidTr="00963755">
        <w:trPr>
          <w:trHeight w:val="320"/>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22FBBCDC" w14:textId="77777777" w:rsidR="00963755" w:rsidRPr="00963755" w:rsidRDefault="00963755" w:rsidP="00963755">
            <w:pPr>
              <w:jc w:val="center"/>
              <w:rPr>
                <w:rFonts w:ascii="Calibri" w:eastAsia="Times New Roman" w:hAnsi="Calibri" w:cs="Times New Roman"/>
                <w:color w:val="000000"/>
              </w:rPr>
            </w:pPr>
            <w:proofErr w:type="spellStart"/>
            <w:r w:rsidRPr="00963755">
              <w:rPr>
                <w:rFonts w:ascii="Calibri" w:eastAsia="Times New Roman" w:hAnsi="Calibri" w:cs="Times New Roman"/>
                <w:color w:val="000000"/>
              </w:rPr>
              <w:t>BrkSide</w:t>
            </w:r>
            <w:proofErr w:type="spellEnd"/>
          </w:p>
        </w:tc>
        <w:tc>
          <w:tcPr>
            <w:tcW w:w="2420" w:type="dxa"/>
            <w:tcBorders>
              <w:top w:val="nil"/>
              <w:left w:val="nil"/>
              <w:bottom w:val="single" w:sz="4" w:space="0" w:color="auto"/>
              <w:right w:val="single" w:sz="4" w:space="0" w:color="auto"/>
            </w:tcBorders>
            <w:shd w:val="clear" w:color="auto" w:fill="auto"/>
            <w:noWrap/>
            <w:vAlign w:val="bottom"/>
            <w:hideMark/>
          </w:tcPr>
          <w:p w14:paraId="2E88F959" w14:textId="77777777" w:rsidR="00963755" w:rsidRPr="00963755" w:rsidRDefault="00963755" w:rsidP="00963755">
            <w:pPr>
              <w:jc w:val="center"/>
              <w:rPr>
                <w:rFonts w:ascii="Calibri" w:eastAsia="Times New Roman" w:hAnsi="Calibri" w:cs="Times New Roman"/>
                <w:color w:val="000000"/>
              </w:rPr>
            </w:pPr>
            <w:r w:rsidRPr="00963755">
              <w:rPr>
                <w:rFonts w:ascii="Calibri" w:eastAsia="Times New Roman" w:hAnsi="Calibri" w:cs="Times New Roman"/>
                <w:color w:val="000000"/>
              </w:rPr>
              <w:t>58</w:t>
            </w:r>
          </w:p>
        </w:tc>
        <w:tc>
          <w:tcPr>
            <w:tcW w:w="2420" w:type="dxa"/>
            <w:tcBorders>
              <w:top w:val="nil"/>
              <w:left w:val="nil"/>
              <w:bottom w:val="single" w:sz="4" w:space="0" w:color="auto"/>
              <w:right w:val="single" w:sz="4" w:space="0" w:color="auto"/>
            </w:tcBorders>
            <w:shd w:val="clear" w:color="auto" w:fill="auto"/>
            <w:noWrap/>
            <w:vAlign w:val="bottom"/>
            <w:hideMark/>
          </w:tcPr>
          <w:p w14:paraId="57D2925D" w14:textId="77777777" w:rsidR="00963755" w:rsidRPr="00963755" w:rsidRDefault="00963755" w:rsidP="00963755">
            <w:pPr>
              <w:jc w:val="center"/>
              <w:rPr>
                <w:rFonts w:ascii="Calibri" w:eastAsia="Times New Roman" w:hAnsi="Calibri" w:cs="Times New Roman"/>
                <w:color w:val="000000"/>
              </w:rPr>
            </w:pPr>
            <w:r w:rsidRPr="00963755">
              <w:rPr>
                <w:rFonts w:ascii="Calibri" w:eastAsia="Times New Roman" w:hAnsi="Calibri" w:cs="Times New Roman"/>
                <w:color w:val="000000"/>
              </w:rPr>
              <w:t>1203.07</w:t>
            </w:r>
          </w:p>
        </w:tc>
        <w:tc>
          <w:tcPr>
            <w:tcW w:w="2420" w:type="dxa"/>
            <w:tcBorders>
              <w:top w:val="nil"/>
              <w:left w:val="nil"/>
              <w:bottom w:val="single" w:sz="4" w:space="0" w:color="auto"/>
              <w:right w:val="single" w:sz="4" w:space="0" w:color="auto"/>
            </w:tcBorders>
            <w:shd w:val="clear" w:color="auto" w:fill="auto"/>
            <w:noWrap/>
            <w:vAlign w:val="bottom"/>
            <w:hideMark/>
          </w:tcPr>
          <w:p w14:paraId="4445DB1E" w14:textId="77777777" w:rsidR="00963755" w:rsidRPr="00963755" w:rsidRDefault="00963755" w:rsidP="00963755">
            <w:pPr>
              <w:jc w:val="center"/>
              <w:rPr>
                <w:rFonts w:ascii="Calibri" w:eastAsia="Times New Roman" w:hAnsi="Calibri" w:cs="Times New Roman"/>
                <w:color w:val="000000"/>
              </w:rPr>
            </w:pPr>
            <w:r w:rsidRPr="00963755">
              <w:rPr>
                <w:rFonts w:ascii="Calibri" w:eastAsia="Times New Roman" w:hAnsi="Calibri" w:cs="Times New Roman"/>
                <w:color w:val="000000"/>
              </w:rPr>
              <w:t xml:space="preserve"> $124,834.05 </w:t>
            </w:r>
          </w:p>
        </w:tc>
      </w:tr>
      <w:tr w:rsidR="00963755" w:rsidRPr="00963755" w14:paraId="18D4A231" w14:textId="77777777" w:rsidTr="00963755">
        <w:trPr>
          <w:trHeight w:val="320"/>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15C63291" w14:textId="77777777" w:rsidR="00963755" w:rsidRPr="00963755" w:rsidRDefault="00963755" w:rsidP="00963755">
            <w:pPr>
              <w:jc w:val="center"/>
              <w:rPr>
                <w:rFonts w:ascii="Calibri" w:eastAsia="Times New Roman" w:hAnsi="Calibri" w:cs="Times New Roman"/>
                <w:color w:val="000000"/>
              </w:rPr>
            </w:pPr>
            <w:r w:rsidRPr="00963755">
              <w:rPr>
                <w:rFonts w:ascii="Calibri" w:eastAsia="Times New Roman" w:hAnsi="Calibri" w:cs="Times New Roman"/>
                <w:color w:val="000000"/>
              </w:rPr>
              <w:t>All Three</w:t>
            </w:r>
          </w:p>
        </w:tc>
        <w:tc>
          <w:tcPr>
            <w:tcW w:w="2420" w:type="dxa"/>
            <w:tcBorders>
              <w:top w:val="nil"/>
              <w:left w:val="nil"/>
              <w:bottom w:val="single" w:sz="4" w:space="0" w:color="auto"/>
              <w:right w:val="single" w:sz="4" w:space="0" w:color="auto"/>
            </w:tcBorders>
            <w:shd w:val="clear" w:color="auto" w:fill="auto"/>
            <w:noWrap/>
            <w:vAlign w:val="bottom"/>
            <w:hideMark/>
          </w:tcPr>
          <w:p w14:paraId="6F8EB200" w14:textId="77777777" w:rsidR="00963755" w:rsidRPr="00963755" w:rsidRDefault="00963755" w:rsidP="00963755">
            <w:pPr>
              <w:jc w:val="center"/>
              <w:rPr>
                <w:rFonts w:ascii="Calibri" w:eastAsia="Times New Roman" w:hAnsi="Calibri" w:cs="Times New Roman"/>
                <w:color w:val="000000"/>
              </w:rPr>
            </w:pPr>
            <w:r w:rsidRPr="00963755">
              <w:rPr>
                <w:rFonts w:ascii="Calibri" w:eastAsia="Times New Roman" w:hAnsi="Calibri" w:cs="Times New Roman"/>
                <w:color w:val="000000"/>
              </w:rPr>
              <w:t>383</w:t>
            </w:r>
          </w:p>
        </w:tc>
        <w:tc>
          <w:tcPr>
            <w:tcW w:w="2420" w:type="dxa"/>
            <w:tcBorders>
              <w:top w:val="nil"/>
              <w:left w:val="nil"/>
              <w:bottom w:val="single" w:sz="4" w:space="0" w:color="auto"/>
              <w:right w:val="single" w:sz="4" w:space="0" w:color="auto"/>
            </w:tcBorders>
            <w:shd w:val="clear" w:color="auto" w:fill="auto"/>
            <w:noWrap/>
            <w:vAlign w:val="bottom"/>
            <w:hideMark/>
          </w:tcPr>
          <w:p w14:paraId="504F9539" w14:textId="7B998E05" w:rsidR="00963755" w:rsidRPr="00963755" w:rsidRDefault="00963755" w:rsidP="00963755">
            <w:pPr>
              <w:jc w:val="center"/>
              <w:rPr>
                <w:rFonts w:ascii="Calibri" w:eastAsia="Times New Roman" w:hAnsi="Calibri" w:cs="Times New Roman"/>
                <w:color w:val="000000"/>
              </w:rPr>
            </w:pPr>
            <w:r w:rsidRPr="00963755">
              <w:rPr>
                <w:rFonts w:ascii="Calibri" w:eastAsia="Times New Roman" w:hAnsi="Calibri" w:cs="Times New Roman"/>
                <w:color w:val="000000"/>
              </w:rPr>
              <w:t>1301</w:t>
            </w:r>
            <w:r w:rsidR="00254BAD">
              <w:rPr>
                <w:rFonts w:ascii="Calibri" w:eastAsia="Times New Roman" w:hAnsi="Calibri" w:cs="Times New Roman"/>
                <w:color w:val="000000"/>
              </w:rPr>
              <w:t>.83</w:t>
            </w:r>
          </w:p>
        </w:tc>
        <w:tc>
          <w:tcPr>
            <w:tcW w:w="2420" w:type="dxa"/>
            <w:tcBorders>
              <w:top w:val="nil"/>
              <w:left w:val="nil"/>
              <w:bottom w:val="single" w:sz="4" w:space="0" w:color="auto"/>
              <w:right w:val="single" w:sz="4" w:space="0" w:color="auto"/>
            </w:tcBorders>
            <w:shd w:val="clear" w:color="auto" w:fill="auto"/>
            <w:noWrap/>
            <w:vAlign w:val="bottom"/>
            <w:hideMark/>
          </w:tcPr>
          <w:p w14:paraId="181C82DA" w14:textId="77777777" w:rsidR="00963755" w:rsidRPr="00963755" w:rsidRDefault="00963755" w:rsidP="00963755">
            <w:pPr>
              <w:jc w:val="center"/>
              <w:rPr>
                <w:rFonts w:ascii="Calibri" w:eastAsia="Times New Roman" w:hAnsi="Calibri" w:cs="Times New Roman"/>
                <w:color w:val="000000"/>
              </w:rPr>
            </w:pPr>
            <w:r w:rsidRPr="00963755">
              <w:rPr>
                <w:rFonts w:ascii="Calibri" w:eastAsia="Times New Roman" w:hAnsi="Calibri" w:cs="Times New Roman"/>
                <w:color w:val="000000"/>
              </w:rPr>
              <w:t xml:space="preserve"> $138,062.50 </w:t>
            </w:r>
          </w:p>
        </w:tc>
      </w:tr>
    </w:tbl>
    <w:p w14:paraId="4D34A02C" w14:textId="77777777" w:rsidR="00F75966" w:rsidRDefault="00F75966" w:rsidP="00F75966">
      <w:pPr>
        <w:pStyle w:val="Heading2"/>
      </w:pPr>
    </w:p>
    <w:p w14:paraId="00044780" w14:textId="2D6E3213" w:rsidR="00002900" w:rsidRDefault="00F75966" w:rsidP="00F75966">
      <w:pPr>
        <w:pStyle w:val="Heading2"/>
      </w:pPr>
      <w:r>
        <w:t>Summary</w:t>
      </w:r>
    </w:p>
    <w:p w14:paraId="017C2B7B" w14:textId="47E47D4F" w:rsidR="005450C1" w:rsidRPr="005450C1" w:rsidRDefault="005450C1" w:rsidP="005450C1">
      <w:r>
        <w:t>Using the 383 observations for the three neighborhoods, our goal is to select a model that best fits the relationship between living area and sale price.  This section will provide details on the selection process, the assumptions, and the model.</w:t>
      </w:r>
    </w:p>
    <w:p w14:paraId="03335172" w14:textId="77777777" w:rsidR="005450C1" w:rsidRDefault="005450C1" w:rsidP="005450C1">
      <w:pPr>
        <w:pStyle w:val="Heading2"/>
      </w:pPr>
    </w:p>
    <w:p w14:paraId="4F756C35" w14:textId="3134E3CE" w:rsidR="005450C1" w:rsidRDefault="005450C1" w:rsidP="005450C1">
      <w:pPr>
        <w:pStyle w:val="Heading2"/>
      </w:pPr>
      <w:r>
        <w:t>Selection Process</w:t>
      </w:r>
    </w:p>
    <w:p w14:paraId="165E35A1" w14:textId="155FE502" w:rsidR="005450C1" w:rsidRDefault="00B17B03" w:rsidP="005450C1">
      <w:r>
        <w:t>This section will demonstrate</w:t>
      </w:r>
      <w:r w:rsidR="005450C1">
        <w:t xml:space="preserve"> the various models ran, results of eac</w:t>
      </w:r>
      <w:r>
        <w:t xml:space="preserve">h, and our decision on which model is </w:t>
      </w:r>
      <w:r w:rsidR="005450C1">
        <w:t>best based on how it satisfies the following assumptions:</w:t>
      </w:r>
    </w:p>
    <w:p w14:paraId="7EE3BAA4" w14:textId="19BA79D9" w:rsidR="005450C1" w:rsidRPr="005450C1" w:rsidRDefault="005450C1" w:rsidP="005450C1">
      <w:r>
        <w:tab/>
      </w:r>
    </w:p>
    <w:p w14:paraId="467339D0" w14:textId="5B0C0DE6" w:rsidR="00496AD4" w:rsidRDefault="005450C1" w:rsidP="00706B0C">
      <w:pPr>
        <w:pStyle w:val="ListParagraph"/>
        <w:numPr>
          <w:ilvl w:val="0"/>
          <w:numId w:val="1"/>
        </w:numPr>
      </w:pPr>
      <w:r>
        <w:t>Normality</w:t>
      </w:r>
    </w:p>
    <w:p w14:paraId="73F97037" w14:textId="17BA86D9" w:rsidR="00706B0C" w:rsidRDefault="005450C1" w:rsidP="00706B0C">
      <w:pPr>
        <w:pStyle w:val="ListParagraph"/>
        <w:numPr>
          <w:ilvl w:val="0"/>
          <w:numId w:val="1"/>
        </w:numPr>
      </w:pPr>
      <w:r>
        <w:t>Linearity</w:t>
      </w:r>
    </w:p>
    <w:p w14:paraId="4352F048" w14:textId="01CCAFA6" w:rsidR="00706B0C" w:rsidRDefault="005450C1" w:rsidP="00706B0C">
      <w:pPr>
        <w:pStyle w:val="ListParagraph"/>
        <w:numPr>
          <w:ilvl w:val="0"/>
          <w:numId w:val="1"/>
        </w:numPr>
      </w:pPr>
      <w:r>
        <w:t>Equal Variance</w:t>
      </w:r>
    </w:p>
    <w:p w14:paraId="1B91B797" w14:textId="25DBBDB1" w:rsidR="00706B0C" w:rsidRDefault="005450C1" w:rsidP="00706B0C">
      <w:pPr>
        <w:pStyle w:val="ListParagraph"/>
        <w:numPr>
          <w:ilvl w:val="0"/>
          <w:numId w:val="1"/>
        </w:numPr>
      </w:pPr>
      <w:r>
        <w:t>Independence</w:t>
      </w:r>
    </w:p>
    <w:p w14:paraId="0807DBF5" w14:textId="1DB719AD" w:rsidR="00F75966" w:rsidRDefault="005450C1" w:rsidP="009D066B">
      <w:pPr>
        <w:pStyle w:val="ListParagraph"/>
        <w:numPr>
          <w:ilvl w:val="0"/>
          <w:numId w:val="1"/>
        </w:numPr>
      </w:pPr>
      <w:r>
        <w:t>Outliers</w:t>
      </w:r>
    </w:p>
    <w:p w14:paraId="1460B361" w14:textId="77777777" w:rsidR="00D9091C" w:rsidRDefault="00D9091C" w:rsidP="00D9091C">
      <w:pPr>
        <w:pStyle w:val="ListParagraph"/>
      </w:pPr>
    </w:p>
    <w:p w14:paraId="71D213BF" w14:textId="16AD0E3C" w:rsidR="00F009A0" w:rsidRDefault="00F75966" w:rsidP="009D066B">
      <w:pPr>
        <w:pStyle w:val="Heading2"/>
      </w:pPr>
      <w:r>
        <w:t>Summary Table of Model Assumptions</w:t>
      </w:r>
    </w:p>
    <w:p w14:paraId="7D877CF0" w14:textId="77777777" w:rsidR="00504A5C" w:rsidRPr="00504A5C" w:rsidRDefault="00504A5C" w:rsidP="00504A5C"/>
    <w:tbl>
      <w:tblPr>
        <w:tblW w:w="10499" w:type="dxa"/>
        <w:tblLook w:val="04A0" w:firstRow="1" w:lastRow="0" w:firstColumn="1" w:lastColumn="0" w:noHBand="0" w:noVBand="1"/>
      </w:tblPr>
      <w:tblGrid>
        <w:gridCol w:w="3145"/>
        <w:gridCol w:w="1141"/>
        <w:gridCol w:w="1120"/>
        <w:gridCol w:w="1393"/>
        <w:gridCol w:w="1801"/>
        <w:gridCol w:w="1027"/>
        <w:gridCol w:w="872"/>
      </w:tblGrid>
      <w:tr w:rsidR="00504A5C" w:rsidRPr="00504A5C" w14:paraId="0969ABBC" w14:textId="77777777" w:rsidTr="00504A5C">
        <w:trPr>
          <w:trHeight w:val="320"/>
        </w:trPr>
        <w:tc>
          <w:tcPr>
            <w:tcW w:w="10499" w:type="dxa"/>
            <w:gridSpan w:val="7"/>
            <w:tcBorders>
              <w:top w:val="single" w:sz="4" w:space="0" w:color="auto"/>
              <w:left w:val="single" w:sz="4" w:space="0" w:color="auto"/>
              <w:bottom w:val="single" w:sz="4" w:space="0" w:color="auto"/>
              <w:right w:val="single" w:sz="4" w:space="0" w:color="auto"/>
            </w:tcBorders>
            <w:shd w:val="clear" w:color="000000" w:fill="AEAAAA"/>
            <w:noWrap/>
            <w:vAlign w:val="bottom"/>
            <w:hideMark/>
          </w:tcPr>
          <w:p w14:paraId="784EFDC0" w14:textId="77777777" w:rsidR="00504A5C" w:rsidRPr="00504A5C" w:rsidRDefault="00504A5C" w:rsidP="00504A5C">
            <w:pPr>
              <w:jc w:val="center"/>
              <w:rPr>
                <w:rFonts w:ascii="Calibri" w:eastAsia="Times New Roman" w:hAnsi="Calibri" w:cs="Times New Roman"/>
                <w:b/>
                <w:bCs/>
                <w:color w:val="000000"/>
                <w:sz w:val="20"/>
                <w:szCs w:val="20"/>
              </w:rPr>
            </w:pPr>
            <w:r w:rsidRPr="00504A5C">
              <w:rPr>
                <w:rFonts w:ascii="Calibri" w:eastAsia="Times New Roman" w:hAnsi="Calibri" w:cs="Times New Roman"/>
                <w:b/>
                <w:bCs/>
                <w:color w:val="000000"/>
                <w:sz w:val="20"/>
                <w:szCs w:val="20"/>
              </w:rPr>
              <w:t>Vanilla Regression</w:t>
            </w:r>
          </w:p>
        </w:tc>
      </w:tr>
      <w:tr w:rsidR="00504A5C" w:rsidRPr="00504A5C" w14:paraId="3A9F7C76" w14:textId="77777777" w:rsidTr="00504A5C">
        <w:trPr>
          <w:trHeight w:val="560"/>
        </w:trPr>
        <w:tc>
          <w:tcPr>
            <w:tcW w:w="3145" w:type="dxa"/>
            <w:tcBorders>
              <w:top w:val="nil"/>
              <w:left w:val="single" w:sz="4" w:space="0" w:color="auto"/>
              <w:bottom w:val="single" w:sz="4" w:space="0" w:color="auto"/>
              <w:right w:val="single" w:sz="4" w:space="0" w:color="auto"/>
            </w:tcBorders>
            <w:shd w:val="clear" w:color="auto" w:fill="auto"/>
            <w:noWrap/>
            <w:vAlign w:val="bottom"/>
            <w:hideMark/>
          </w:tcPr>
          <w:p w14:paraId="35EDFDE0" w14:textId="77777777" w:rsidR="00504A5C" w:rsidRPr="00504A5C" w:rsidRDefault="00504A5C" w:rsidP="00504A5C">
            <w:pPr>
              <w:jc w:val="center"/>
              <w:rPr>
                <w:rFonts w:ascii="Calibri" w:eastAsia="Times New Roman" w:hAnsi="Calibri" w:cs="Times New Roman"/>
                <w:b/>
                <w:bCs/>
                <w:color w:val="000000"/>
                <w:sz w:val="20"/>
                <w:szCs w:val="20"/>
              </w:rPr>
            </w:pPr>
            <w:r w:rsidRPr="00504A5C">
              <w:rPr>
                <w:rFonts w:ascii="Calibri" w:eastAsia="Times New Roman" w:hAnsi="Calibri" w:cs="Times New Roman"/>
                <w:b/>
                <w:bCs/>
                <w:color w:val="000000"/>
                <w:sz w:val="20"/>
                <w:szCs w:val="20"/>
              </w:rPr>
              <w:t>Model</w:t>
            </w:r>
          </w:p>
        </w:tc>
        <w:tc>
          <w:tcPr>
            <w:tcW w:w="1141" w:type="dxa"/>
            <w:tcBorders>
              <w:top w:val="nil"/>
              <w:left w:val="nil"/>
              <w:bottom w:val="single" w:sz="4" w:space="0" w:color="auto"/>
              <w:right w:val="single" w:sz="4" w:space="0" w:color="auto"/>
            </w:tcBorders>
            <w:shd w:val="clear" w:color="auto" w:fill="auto"/>
            <w:noWrap/>
            <w:vAlign w:val="bottom"/>
            <w:hideMark/>
          </w:tcPr>
          <w:p w14:paraId="06314528" w14:textId="77777777" w:rsidR="00504A5C" w:rsidRPr="00504A5C" w:rsidRDefault="00504A5C" w:rsidP="00504A5C">
            <w:pPr>
              <w:jc w:val="center"/>
              <w:rPr>
                <w:rFonts w:ascii="Calibri" w:eastAsia="Times New Roman" w:hAnsi="Calibri" w:cs="Times New Roman"/>
                <w:b/>
                <w:bCs/>
                <w:color w:val="000000"/>
                <w:sz w:val="20"/>
                <w:szCs w:val="20"/>
              </w:rPr>
            </w:pPr>
            <w:r w:rsidRPr="00504A5C">
              <w:rPr>
                <w:rFonts w:ascii="Calibri" w:eastAsia="Times New Roman" w:hAnsi="Calibri" w:cs="Times New Roman"/>
                <w:b/>
                <w:bCs/>
                <w:color w:val="000000"/>
                <w:sz w:val="20"/>
                <w:szCs w:val="20"/>
              </w:rPr>
              <w:t>Normality</w:t>
            </w:r>
          </w:p>
        </w:tc>
        <w:tc>
          <w:tcPr>
            <w:tcW w:w="1120" w:type="dxa"/>
            <w:tcBorders>
              <w:top w:val="nil"/>
              <w:left w:val="nil"/>
              <w:bottom w:val="single" w:sz="4" w:space="0" w:color="auto"/>
              <w:right w:val="single" w:sz="4" w:space="0" w:color="auto"/>
            </w:tcBorders>
            <w:shd w:val="clear" w:color="auto" w:fill="auto"/>
            <w:noWrap/>
            <w:vAlign w:val="bottom"/>
            <w:hideMark/>
          </w:tcPr>
          <w:p w14:paraId="2B36CDA6" w14:textId="77777777" w:rsidR="00504A5C" w:rsidRPr="00504A5C" w:rsidRDefault="00504A5C" w:rsidP="00504A5C">
            <w:pPr>
              <w:jc w:val="center"/>
              <w:rPr>
                <w:rFonts w:ascii="Calibri" w:eastAsia="Times New Roman" w:hAnsi="Calibri" w:cs="Times New Roman"/>
                <w:b/>
                <w:bCs/>
                <w:color w:val="000000"/>
                <w:sz w:val="20"/>
                <w:szCs w:val="20"/>
              </w:rPr>
            </w:pPr>
            <w:r w:rsidRPr="00504A5C">
              <w:rPr>
                <w:rFonts w:ascii="Calibri" w:eastAsia="Times New Roman" w:hAnsi="Calibri" w:cs="Times New Roman"/>
                <w:b/>
                <w:bCs/>
                <w:color w:val="000000"/>
                <w:sz w:val="20"/>
                <w:szCs w:val="20"/>
              </w:rPr>
              <w:t>Linearity</w:t>
            </w:r>
          </w:p>
        </w:tc>
        <w:tc>
          <w:tcPr>
            <w:tcW w:w="1393" w:type="dxa"/>
            <w:tcBorders>
              <w:top w:val="nil"/>
              <w:left w:val="nil"/>
              <w:bottom w:val="single" w:sz="4" w:space="0" w:color="auto"/>
              <w:right w:val="single" w:sz="4" w:space="0" w:color="auto"/>
            </w:tcBorders>
            <w:shd w:val="clear" w:color="auto" w:fill="auto"/>
            <w:vAlign w:val="bottom"/>
            <w:hideMark/>
          </w:tcPr>
          <w:p w14:paraId="707C2308" w14:textId="77777777" w:rsidR="00504A5C" w:rsidRPr="00504A5C" w:rsidRDefault="00504A5C" w:rsidP="00504A5C">
            <w:pPr>
              <w:jc w:val="center"/>
              <w:rPr>
                <w:rFonts w:ascii="Calibri" w:eastAsia="Times New Roman" w:hAnsi="Calibri" w:cs="Times New Roman"/>
                <w:b/>
                <w:bCs/>
                <w:color w:val="000000"/>
                <w:sz w:val="20"/>
                <w:szCs w:val="20"/>
              </w:rPr>
            </w:pPr>
            <w:r w:rsidRPr="00504A5C">
              <w:rPr>
                <w:rFonts w:ascii="Calibri" w:eastAsia="Times New Roman" w:hAnsi="Calibri" w:cs="Times New Roman"/>
                <w:b/>
                <w:bCs/>
                <w:color w:val="000000"/>
                <w:sz w:val="20"/>
                <w:szCs w:val="20"/>
              </w:rPr>
              <w:t>Equal Variance</w:t>
            </w:r>
          </w:p>
        </w:tc>
        <w:tc>
          <w:tcPr>
            <w:tcW w:w="1801" w:type="dxa"/>
            <w:tcBorders>
              <w:top w:val="nil"/>
              <w:left w:val="nil"/>
              <w:bottom w:val="single" w:sz="4" w:space="0" w:color="auto"/>
              <w:right w:val="single" w:sz="4" w:space="0" w:color="auto"/>
            </w:tcBorders>
            <w:shd w:val="clear" w:color="auto" w:fill="auto"/>
            <w:noWrap/>
            <w:vAlign w:val="bottom"/>
            <w:hideMark/>
          </w:tcPr>
          <w:p w14:paraId="6558DFEB" w14:textId="77777777" w:rsidR="00504A5C" w:rsidRPr="00504A5C" w:rsidRDefault="00504A5C" w:rsidP="00504A5C">
            <w:pPr>
              <w:jc w:val="center"/>
              <w:rPr>
                <w:rFonts w:ascii="Calibri" w:eastAsia="Times New Roman" w:hAnsi="Calibri" w:cs="Times New Roman"/>
                <w:b/>
                <w:bCs/>
                <w:color w:val="000000"/>
                <w:sz w:val="20"/>
                <w:szCs w:val="20"/>
              </w:rPr>
            </w:pPr>
            <w:r w:rsidRPr="00504A5C">
              <w:rPr>
                <w:rFonts w:ascii="Calibri" w:eastAsia="Times New Roman" w:hAnsi="Calibri" w:cs="Times New Roman"/>
                <w:b/>
                <w:bCs/>
                <w:color w:val="000000"/>
                <w:sz w:val="20"/>
                <w:szCs w:val="20"/>
              </w:rPr>
              <w:t>Independence</w:t>
            </w:r>
          </w:p>
        </w:tc>
        <w:tc>
          <w:tcPr>
            <w:tcW w:w="1027" w:type="dxa"/>
            <w:tcBorders>
              <w:top w:val="nil"/>
              <w:left w:val="nil"/>
              <w:bottom w:val="single" w:sz="4" w:space="0" w:color="auto"/>
              <w:right w:val="single" w:sz="4" w:space="0" w:color="auto"/>
            </w:tcBorders>
            <w:shd w:val="clear" w:color="auto" w:fill="auto"/>
            <w:noWrap/>
            <w:vAlign w:val="bottom"/>
            <w:hideMark/>
          </w:tcPr>
          <w:p w14:paraId="1D931782" w14:textId="77777777" w:rsidR="00504A5C" w:rsidRPr="00504A5C" w:rsidRDefault="00504A5C" w:rsidP="00504A5C">
            <w:pPr>
              <w:jc w:val="center"/>
              <w:rPr>
                <w:rFonts w:ascii="Calibri" w:eastAsia="Times New Roman" w:hAnsi="Calibri" w:cs="Times New Roman"/>
                <w:b/>
                <w:bCs/>
                <w:color w:val="000000"/>
                <w:sz w:val="20"/>
                <w:szCs w:val="20"/>
              </w:rPr>
            </w:pPr>
            <w:r w:rsidRPr="00504A5C">
              <w:rPr>
                <w:rFonts w:ascii="Calibri" w:eastAsia="Times New Roman" w:hAnsi="Calibri" w:cs="Times New Roman"/>
                <w:b/>
                <w:bCs/>
                <w:color w:val="000000"/>
                <w:sz w:val="20"/>
                <w:szCs w:val="20"/>
              </w:rPr>
              <w:t>Outliers</w:t>
            </w:r>
          </w:p>
        </w:tc>
        <w:tc>
          <w:tcPr>
            <w:tcW w:w="872" w:type="dxa"/>
            <w:tcBorders>
              <w:top w:val="nil"/>
              <w:left w:val="nil"/>
              <w:bottom w:val="single" w:sz="4" w:space="0" w:color="auto"/>
              <w:right w:val="single" w:sz="4" w:space="0" w:color="auto"/>
            </w:tcBorders>
            <w:shd w:val="clear" w:color="auto" w:fill="auto"/>
            <w:noWrap/>
            <w:vAlign w:val="bottom"/>
            <w:hideMark/>
          </w:tcPr>
          <w:p w14:paraId="2EF9A79A" w14:textId="77777777" w:rsidR="00504A5C" w:rsidRPr="00504A5C" w:rsidRDefault="00504A5C" w:rsidP="00504A5C">
            <w:pPr>
              <w:jc w:val="center"/>
              <w:rPr>
                <w:rFonts w:ascii="Calibri" w:eastAsia="Times New Roman" w:hAnsi="Calibri" w:cs="Times New Roman"/>
                <w:b/>
                <w:bCs/>
                <w:color w:val="000000"/>
                <w:sz w:val="20"/>
                <w:szCs w:val="20"/>
              </w:rPr>
            </w:pPr>
            <w:r w:rsidRPr="00504A5C">
              <w:rPr>
                <w:rFonts w:ascii="Calibri" w:eastAsia="Times New Roman" w:hAnsi="Calibri" w:cs="Times New Roman"/>
                <w:b/>
                <w:bCs/>
                <w:color w:val="000000"/>
                <w:sz w:val="20"/>
                <w:szCs w:val="20"/>
              </w:rPr>
              <w:t>R^2</w:t>
            </w:r>
          </w:p>
        </w:tc>
      </w:tr>
      <w:tr w:rsidR="00504A5C" w:rsidRPr="00504A5C" w14:paraId="71092341" w14:textId="77777777" w:rsidTr="00504A5C">
        <w:trPr>
          <w:trHeight w:val="320"/>
        </w:trPr>
        <w:tc>
          <w:tcPr>
            <w:tcW w:w="3145" w:type="dxa"/>
            <w:tcBorders>
              <w:top w:val="nil"/>
              <w:left w:val="single" w:sz="4" w:space="0" w:color="auto"/>
              <w:bottom w:val="single" w:sz="4" w:space="0" w:color="auto"/>
              <w:right w:val="single" w:sz="4" w:space="0" w:color="auto"/>
            </w:tcBorders>
            <w:shd w:val="clear" w:color="auto" w:fill="auto"/>
            <w:vAlign w:val="bottom"/>
            <w:hideMark/>
          </w:tcPr>
          <w:p w14:paraId="13769994"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Original Data</w:t>
            </w:r>
          </w:p>
        </w:tc>
        <w:tc>
          <w:tcPr>
            <w:tcW w:w="1141" w:type="dxa"/>
            <w:tcBorders>
              <w:top w:val="nil"/>
              <w:left w:val="nil"/>
              <w:bottom w:val="single" w:sz="4" w:space="0" w:color="auto"/>
              <w:right w:val="single" w:sz="4" w:space="0" w:color="auto"/>
            </w:tcBorders>
            <w:shd w:val="clear" w:color="auto" w:fill="auto"/>
            <w:noWrap/>
            <w:vAlign w:val="bottom"/>
            <w:hideMark/>
          </w:tcPr>
          <w:p w14:paraId="47EE8D05" w14:textId="51D0EF62"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120" w:type="dxa"/>
            <w:tcBorders>
              <w:top w:val="nil"/>
              <w:left w:val="nil"/>
              <w:bottom w:val="single" w:sz="4" w:space="0" w:color="auto"/>
              <w:right w:val="single" w:sz="4" w:space="0" w:color="auto"/>
            </w:tcBorders>
            <w:shd w:val="clear" w:color="auto" w:fill="auto"/>
            <w:noWrap/>
            <w:vAlign w:val="bottom"/>
            <w:hideMark/>
          </w:tcPr>
          <w:p w14:paraId="25A4D2E2"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 </w:t>
            </w:r>
          </w:p>
        </w:tc>
        <w:tc>
          <w:tcPr>
            <w:tcW w:w="1393" w:type="dxa"/>
            <w:tcBorders>
              <w:top w:val="nil"/>
              <w:left w:val="nil"/>
              <w:bottom w:val="single" w:sz="4" w:space="0" w:color="auto"/>
              <w:right w:val="single" w:sz="4" w:space="0" w:color="auto"/>
            </w:tcBorders>
            <w:shd w:val="clear" w:color="auto" w:fill="auto"/>
            <w:noWrap/>
            <w:vAlign w:val="bottom"/>
            <w:hideMark/>
          </w:tcPr>
          <w:p w14:paraId="3F3AE851"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 </w:t>
            </w:r>
          </w:p>
        </w:tc>
        <w:tc>
          <w:tcPr>
            <w:tcW w:w="1801" w:type="dxa"/>
            <w:tcBorders>
              <w:top w:val="nil"/>
              <w:left w:val="nil"/>
              <w:bottom w:val="single" w:sz="4" w:space="0" w:color="auto"/>
              <w:right w:val="single" w:sz="4" w:space="0" w:color="auto"/>
            </w:tcBorders>
            <w:shd w:val="clear" w:color="auto" w:fill="auto"/>
            <w:noWrap/>
            <w:vAlign w:val="bottom"/>
            <w:hideMark/>
          </w:tcPr>
          <w:p w14:paraId="51EF3874" w14:textId="4A45F756"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027" w:type="dxa"/>
            <w:tcBorders>
              <w:top w:val="nil"/>
              <w:left w:val="nil"/>
              <w:bottom w:val="single" w:sz="4" w:space="0" w:color="auto"/>
              <w:right w:val="single" w:sz="4" w:space="0" w:color="auto"/>
            </w:tcBorders>
            <w:shd w:val="clear" w:color="auto" w:fill="auto"/>
            <w:noWrap/>
            <w:vAlign w:val="bottom"/>
            <w:hideMark/>
          </w:tcPr>
          <w:p w14:paraId="6155897D"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 </w:t>
            </w:r>
          </w:p>
        </w:tc>
        <w:tc>
          <w:tcPr>
            <w:tcW w:w="872" w:type="dxa"/>
            <w:tcBorders>
              <w:top w:val="nil"/>
              <w:left w:val="nil"/>
              <w:bottom w:val="single" w:sz="4" w:space="0" w:color="auto"/>
              <w:right w:val="single" w:sz="4" w:space="0" w:color="auto"/>
            </w:tcBorders>
            <w:shd w:val="clear" w:color="auto" w:fill="auto"/>
            <w:noWrap/>
            <w:vAlign w:val="bottom"/>
            <w:hideMark/>
          </w:tcPr>
          <w:p w14:paraId="298867F6"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0.447</w:t>
            </w:r>
          </w:p>
        </w:tc>
      </w:tr>
      <w:tr w:rsidR="00504A5C" w:rsidRPr="00504A5C" w14:paraId="5E2790ED" w14:textId="77777777" w:rsidTr="00504A5C">
        <w:trPr>
          <w:trHeight w:val="320"/>
        </w:trPr>
        <w:tc>
          <w:tcPr>
            <w:tcW w:w="3145" w:type="dxa"/>
            <w:tcBorders>
              <w:top w:val="nil"/>
              <w:left w:val="single" w:sz="4" w:space="0" w:color="auto"/>
              <w:bottom w:val="single" w:sz="4" w:space="0" w:color="auto"/>
              <w:right w:val="single" w:sz="4" w:space="0" w:color="auto"/>
            </w:tcBorders>
            <w:shd w:val="clear" w:color="auto" w:fill="auto"/>
            <w:vAlign w:val="bottom"/>
            <w:hideMark/>
          </w:tcPr>
          <w:p w14:paraId="069A5B1E"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Log-Linear</w:t>
            </w:r>
          </w:p>
        </w:tc>
        <w:tc>
          <w:tcPr>
            <w:tcW w:w="1141" w:type="dxa"/>
            <w:tcBorders>
              <w:top w:val="nil"/>
              <w:left w:val="nil"/>
              <w:bottom w:val="single" w:sz="4" w:space="0" w:color="auto"/>
              <w:right w:val="single" w:sz="4" w:space="0" w:color="auto"/>
            </w:tcBorders>
            <w:shd w:val="clear" w:color="auto" w:fill="auto"/>
            <w:noWrap/>
            <w:vAlign w:val="bottom"/>
            <w:hideMark/>
          </w:tcPr>
          <w:p w14:paraId="6AA653F4" w14:textId="577C6787"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120" w:type="dxa"/>
            <w:tcBorders>
              <w:top w:val="nil"/>
              <w:left w:val="nil"/>
              <w:bottom w:val="single" w:sz="4" w:space="0" w:color="auto"/>
              <w:right w:val="single" w:sz="4" w:space="0" w:color="auto"/>
            </w:tcBorders>
            <w:shd w:val="clear" w:color="auto" w:fill="auto"/>
            <w:noWrap/>
            <w:vAlign w:val="bottom"/>
            <w:hideMark/>
          </w:tcPr>
          <w:p w14:paraId="09EFB17A"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 </w:t>
            </w:r>
          </w:p>
        </w:tc>
        <w:tc>
          <w:tcPr>
            <w:tcW w:w="1393" w:type="dxa"/>
            <w:tcBorders>
              <w:top w:val="nil"/>
              <w:left w:val="nil"/>
              <w:bottom w:val="single" w:sz="4" w:space="0" w:color="auto"/>
              <w:right w:val="single" w:sz="4" w:space="0" w:color="auto"/>
            </w:tcBorders>
            <w:shd w:val="clear" w:color="auto" w:fill="auto"/>
            <w:noWrap/>
            <w:vAlign w:val="bottom"/>
            <w:hideMark/>
          </w:tcPr>
          <w:p w14:paraId="4B785622" w14:textId="1E2BED18"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801" w:type="dxa"/>
            <w:tcBorders>
              <w:top w:val="nil"/>
              <w:left w:val="nil"/>
              <w:bottom w:val="single" w:sz="4" w:space="0" w:color="auto"/>
              <w:right w:val="single" w:sz="4" w:space="0" w:color="auto"/>
            </w:tcBorders>
            <w:shd w:val="clear" w:color="auto" w:fill="auto"/>
            <w:noWrap/>
            <w:vAlign w:val="bottom"/>
            <w:hideMark/>
          </w:tcPr>
          <w:p w14:paraId="628D34C2" w14:textId="077C6547"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027" w:type="dxa"/>
            <w:tcBorders>
              <w:top w:val="nil"/>
              <w:left w:val="nil"/>
              <w:bottom w:val="single" w:sz="4" w:space="0" w:color="auto"/>
              <w:right w:val="single" w:sz="4" w:space="0" w:color="auto"/>
            </w:tcBorders>
            <w:shd w:val="clear" w:color="auto" w:fill="auto"/>
            <w:noWrap/>
            <w:vAlign w:val="bottom"/>
            <w:hideMark/>
          </w:tcPr>
          <w:p w14:paraId="5E2DF195"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 </w:t>
            </w:r>
          </w:p>
        </w:tc>
        <w:tc>
          <w:tcPr>
            <w:tcW w:w="872" w:type="dxa"/>
            <w:tcBorders>
              <w:top w:val="nil"/>
              <w:left w:val="nil"/>
              <w:bottom w:val="single" w:sz="4" w:space="0" w:color="auto"/>
              <w:right w:val="single" w:sz="4" w:space="0" w:color="auto"/>
            </w:tcBorders>
            <w:shd w:val="clear" w:color="auto" w:fill="auto"/>
            <w:noWrap/>
            <w:vAlign w:val="bottom"/>
            <w:hideMark/>
          </w:tcPr>
          <w:p w14:paraId="2399CBAE"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0.465</w:t>
            </w:r>
          </w:p>
        </w:tc>
      </w:tr>
      <w:tr w:rsidR="00504A5C" w:rsidRPr="00504A5C" w14:paraId="119D4DFE" w14:textId="77777777" w:rsidTr="00504A5C">
        <w:trPr>
          <w:trHeight w:val="320"/>
        </w:trPr>
        <w:tc>
          <w:tcPr>
            <w:tcW w:w="3145" w:type="dxa"/>
            <w:tcBorders>
              <w:top w:val="nil"/>
              <w:left w:val="single" w:sz="4" w:space="0" w:color="auto"/>
              <w:bottom w:val="single" w:sz="4" w:space="0" w:color="auto"/>
              <w:right w:val="single" w:sz="4" w:space="0" w:color="auto"/>
            </w:tcBorders>
            <w:shd w:val="clear" w:color="auto" w:fill="auto"/>
            <w:vAlign w:val="bottom"/>
            <w:hideMark/>
          </w:tcPr>
          <w:p w14:paraId="2EEFAF36"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Linear-Log</w:t>
            </w:r>
          </w:p>
        </w:tc>
        <w:tc>
          <w:tcPr>
            <w:tcW w:w="1141" w:type="dxa"/>
            <w:tcBorders>
              <w:top w:val="nil"/>
              <w:left w:val="nil"/>
              <w:bottom w:val="single" w:sz="4" w:space="0" w:color="auto"/>
              <w:right w:val="single" w:sz="4" w:space="0" w:color="auto"/>
            </w:tcBorders>
            <w:shd w:val="clear" w:color="auto" w:fill="auto"/>
            <w:noWrap/>
            <w:vAlign w:val="bottom"/>
            <w:hideMark/>
          </w:tcPr>
          <w:p w14:paraId="3C217FA9" w14:textId="5A9C9995"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120" w:type="dxa"/>
            <w:tcBorders>
              <w:top w:val="nil"/>
              <w:left w:val="nil"/>
              <w:bottom w:val="single" w:sz="4" w:space="0" w:color="auto"/>
              <w:right w:val="single" w:sz="4" w:space="0" w:color="auto"/>
            </w:tcBorders>
            <w:shd w:val="clear" w:color="auto" w:fill="auto"/>
            <w:noWrap/>
            <w:vAlign w:val="bottom"/>
            <w:hideMark/>
          </w:tcPr>
          <w:p w14:paraId="6C2B5673"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 </w:t>
            </w:r>
          </w:p>
        </w:tc>
        <w:tc>
          <w:tcPr>
            <w:tcW w:w="1393" w:type="dxa"/>
            <w:tcBorders>
              <w:top w:val="nil"/>
              <w:left w:val="nil"/>
              <w:bottom w:val="single" w:sz="4" w:space="0" w:color="auto"/>
              <w:right w:val="single" w:sz="4" w:space="0" w:color="auto"/>
            </w:tcBorders>
            <w:shd w:val="clear" w:color="auto" w:fill="auto"/>
            <w:noWrap/>
            <w:vAlign w:val="bottom"/>
            <w:hideMark/>
          </w:tcPr>
          <w:p w14:paraId="55A074BC"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 </w:t>
            </w:r>
          </w:p>
        </w:tc>
        <w:tc>
          <w:tcPr>
            <w:tcW w:w="1801" w:type="dxa"/>
            <w:tcBorders>
              <w:top w:val="nil"/>
              <w:left w:val="nil"/>
              <w:bottom w:val="single" w:sz="4" w:space="0" w:color="auto"/>
              <w:right w:val="single" w:sz="4" w:space="0" w:color="auto"/>
            </w:tcBorders>
            <w:shd w:val="clear" w:color="auto" w:fill="auto"/>
            <w:noWrap/>
            <w:vAlign w:val="bottom"/>
            <w:hideMark/>
          </w:tcPr>
          <w:p w14:paraId="07AB2CFD" w14:textId="09832703"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027" w:type="dxa"/>
            <w:tcBorders>
              <w:top w:val="nil"/>
              <w:left w:val="nil"/>
              <w:bottom w:val="single" w:sz="4" w:space="0" w:color="auto"/>
              <w:right w:val="single" w:sz="4" w:space="0" w:color="auto"/>
            </w:tcBorders>
            <w:shd w:val="clear" w:color="auto" w:fill="auto"/>
            <w:noWrap/>
            <w:vAlign w:val="bottom"/>
            <w:hideMark/>
          </w:tcPr>
          <w:p w14:paraId="4CE98D79"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 </w:t>
            </w:r>
          </w:p>
        </w:tc>
        <w:tc>
          <w:tcPr>
            <w:tcW w:w="872" w:type="dxa"/>
            <w:tcBorders>
              <w:top w:val="nil"/>
              <w:left w:val="nil"/>
              <w:bottom w:val="single" w:sz="4" w:space="0" w:color="auto"/>
              <w:right w:val="single" w:sz="4" w:space="0" w:color="auto"/>
            </w:tcBorders>
            <w:shd w:val="clear" w:color="auto" w:fill="auto"/>
            <w:noWrap/>
            <w:vAlign w:val="bottom"/>
            <w:hideMark/>
          </w:tcPr>
          <w:p w14:paraId="36E53133"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0.466</w:t>
            </w:r>
          </w:p>
        </w:tc>
      </w:tr>
      <w:tr w:rsidR="00504A5C" w:rsidRPr="00504A5C" w14:paraId="2A90BCD6" w14:textId="77777777" w:rsidTr="00504A5C">
        <w:trPr>
          <w:trHeight w:val="320"/>
        </w:trPr>
        <w:tc>
          <w:tcPr>
            <w:tcW w:w="3145" w:type="dxa"/>
            <w:tcBorders>
              <w:top w:val="nil"/>
              <w:left w:val="single" w:sz="4" w:space="0" w:color="auto"/>
              <w:bottom w:val="single" w:sz="4" w:space="0" w:color="auto"/>
              <w:right w:val="single" w:sz="4" w:space="0" w:color="auto"/>
            </w:tcBorders>
            <w:shd w:val="clear" w:color="auto" w:fill="auto"/>
            <w:vAlign w:val="bottom"/>
            <w:hideMark/>
          </w:tcPr>
          <w:p w14:paraId="5AC5C24B"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Log-Log</w:t>
            </w:r>
          </w:p>
        </w:tc>
        <w:tc>
          <w:tcPr>
            <w:tcW w:w="1141" w:type="dxa"/>
            <w:tcBorders>
              <w:top w:val="nil"/>
              <w:left w:val="nil"/>
              <w:bottom w:val="single" w:sz="4" w:space="0" w:color="auto"/>
              <w:right w:val="single" w:sz="4" w:space="0" w:color="auto"/>
            </w:tcBorders>
            <w:shd w:val="clear" w:color="auto" w:fill="auto"/>
            <w:noWrap/>
            <w:vAlign w:val="bottom"/>
            <w:hideMark/>
          </w:tcPr>
          <w:p w14:paraId="6FBB99D9" w14:textId="44BCC66A"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120" w:type="dxa"/>
            <w:tcBorders>
              <w:top w:val="nil"/>
              <w:left w:val="nil"/>
              <w:bottom w:val="single" w:sz="4" w:space="0" w:color="auto"/>
              <w:right w:val="single" w:sz="4" w:space="0" w:color="auto"/>
            </w:tcBorders>
            <w:shd w:val="clear" w:color="auto" w:fill="auto"/>
            <w:noWrap/>
            <w:vAlign w:val="bottom"/>
            <w:hideMark/>
          </w:tcPr>
          <w:p w14:paraId="0B0A1B89" w14:textId="6E67C636"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393" w:type="dxa"/>
            <w:tcBorders>
              <w:top w:val="nil"/>
              <w:left w:val="nil"/>
              <w:bottom w:val="single" w:sz="4" w:space="0" w:color="auto"/>
              <w:right w:val="single" w:sz="4" w:space="0" w:color="auto"/>
            </w:tcBorders>
            <w:shd w:val="clear" w:color="auto" w:fill="auto"/>
            <w:noWrap/>
            <w:vAlign w:val="bottom"/>
            <w:hideMark/>
          </w:tcPr>
          <w:p w14:paraId="1DCF1A6F" w14:textId="163385B7"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801" w:type="dxa"/>
            <w:tcBorders>
              <w:top w:val="nil"/>
              <w:left w:val="nil"/>
              <w:bottom w:val="single" w:sz="4" w:space="0" w:color="auto"/>
              <w:right w:val="single" w:sz="4" w:space="0" w:color="auto"/>
            </w:tcBorders>
            <w:shd w:val="clear" w:color="auto" w:fill="auto"/>
            <w:noWrap/>
            <w:vAlign w:val="bottom"/>
            <w:hideMark/>
          </w:tcPr>
          <w:p w14:paraId="2D35C8A0" w14:textId="3493146B"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027" w:type="dxa"/>
            <w:tcBorders>
              <w:top w:val="nil"/>
              <w:left w:val="nil"/>
              <w:bottom w:val="single" w:sz="4" w:space="0" w:color="auto"/>
              <w:right w:val="single" w:sz="4" w:space="0" w:color="auto"/>
            </w:tcBorders>
            <w:shd w:val="clear" w:color="auto" w:fill="auto"/>
            <w:noWrap/>
            <w:vAlign w:val="bottom"/>
            <w:hideMark/>
          </w:tcPr>
          <w:p w14:paraId="035E73BA"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 </w:t>
            </w:r>
          </w:p>
        </w:tc>
        <w:tc>
          <w:tcPr>
            <w:tcW w:w="872" w:type="dxa"/>
            <w:tcBorders>
              <w:top w:val="nil"/>
              <w:left w:val="nil"/>
              <w:bottom w:val="single" w:sz="4" w:space="0" w:color="auto"/>
              <w:right w:val="single" w:sz="4" w:space="0" w:color="auto"/>
            </w:tcBorders>
            <w:shd w:val="clear" w:color="auto" w:fill="auto"/>
            <w:noWrap/>
            <w:vAlign w:val="bottom"/>
            <w:hideMark/>
          </w:tcPr>
          <w:p w14:paraId="598A52A0"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0.512</w:t>
            </w:r>
          </w:p>
        </w:tc>
      </w:tr>
      <w:tr w:rsidR="00504A5C" w:rsidRPr="00504A5C" w14:paraId="41A75978" w14:textId="77777777" w:rsidTr="00504A5C">
        <w:trPr>
          <w:trHeight w:val="560"/>
        </w:trPr>
        <w:tc>
          <w:tcPr>
            <w:tcW w:w="3145" w:type="dxa"/>
            <w:tcBorders>
              <w:top w:val="nil"/>
              <w:left w:val="single" w:sz="4" w:space="0" w:color="auto"/>
              <w:bottom w:val="single" w:sz="4" w:space="0" w:color="auto"/>
              <w:right w:val="single" w:sz="4" w:space="0" w:color="auto"/>
            </w:tcBorders>
            <w:shd w:val="clear" w:color="000000" w:fill="00B050"/>
            <w:vAlign w:val="bottom"/>
            <w:hideMark/>
          </w:tcPr>
          <w:p w14:paraId="0DA92920"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Original Data (Outliers Addressed)</w:t>
            </w:r>
          </w:p>
        </w:tc>
        <w:tc>
          <w:tcPr>
            <w:tcW w:w="1141" w:type="dxa"/>
            <w:tcBorders>
              <w:top w:val="nil"/>
              <w:left w:val="nil"/>
              <w:bottom w:val="single" w:sz="4" w:space="0" w:color="auto"/>
              <w:right w:val="single" w:sz="4" w:space="0" w:color="auto"/>
            </w:tcBorders>
            <w:shd w:val="clear" w:color="000000" w:fill="00B050"/>
            <w:noWrap/>
            <w:vAlign w:val="bottom"/>
            <w:hideMark/>
          </w:tcPr>
          <w:p w14:paraId="2D9B59C3" w14:textId="1914AFD2"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120" w:type="dxa"/>
            <w:tcBorders>
              <w:top w:val="nil"/>
              <w:left w:val="nil"/>
              <w:bottom w:val="single" w:sz="4" w:space="0" w:color="auto"/>
              <w:right w:val="single" w:sz="4" w:space="0" w:color="auto"/>
            </w:tcBorders>
            <w:shd w:val="clear" w:color="000000" w:fill="00B050"/>
            <w:noWrap/>
            <w:vAlign w:val="bottom"/>
            <w:hideMark/>
          </w:tcPr>
          <w:p w14:paraId="3BCF5CF7" w14:textId="493E1992"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393" w:type="dxa"/>
            <w:tcBorders>
              <w:top w:val="nil"/>
              <w:left w:val="nil"/>
              <w:bottom w:val="single" w:sz="4" w:space="0" w:color="auto"/>
              <w:right w:val="single" w:sz="4" w:space="0" w:color="auto"/>
            </w:tcBorders>
            <w:shd w:val="clear" w:color="000000" w:fill="00B050"/>
            <w:noWrap/>
            <w:vAlign w:val="bottom"/>
            <w:hideMark/>
          </w:tcPr>
          <w:p w14:paraId="1D2E4261" w14:textId="519D88B5"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801" w:type="dxa"/>
            <w:tcBorders>
              <w:top w:val="nil"/>
              <w:left w:val="nil"/>
              <w:bottom w:val="single" w:sz="4" w:space="0" w:color="auto"/>
              <w:right w:val="single" w:sz="4" w:space="0" w:color="auto"/>
            </w:tcBorders>
            <w:shd w:val="clear" w:color="000000" w:fill="00B050"/>
            <w:noWrap/>
            <w:vAlign w:val="bottom"/>
            <w:hideMark/>
          </w:tcPr>
          <w:p w14:paraId="12B54421" w14:textId="4B9F2D20"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027" w:type="dxa"/>
            <w:tcBorders>
              <w:top w:val="nil"/>
              <w:left w:val="nil"/>
              <w:bottom w:val="single" w:sz="4" w:space="0" w:color="auto"/>
              <w:right w:val="single" w:sz="4" w:space="0" w:color="auto"/>
            </w:tcBorders>
            <w:shd w:val="clear" w:color="000000" w:fill="00B050"/>
            <w:noWrap/>
            <w:vAlign w:val="bottom"/>
            <w:hideMark/>
          </w:tcPr>
          <w:p w14:paraId="4F036501" w14:textId="792E6DF6"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872" w:type="dxa"/>
            <w:tcBorders>
              <w:top w:val="nil"/>
              <w:left w:val="nil"/>
              <w:bottom w:val="single" w:sz="4" w:space="0" w:color="auto"/>
              <w:right w:val="single" w:sz="4" w:space="0" w:color="auto"/>
            </w:tcBorders>
            <w:shd w:val="clear" w:color="000000" w:fill="00B050"/>
            <w:noWrap/>
            <w:vAlign w:val="bottom"/>
            <w:hideMark/>
          </w:tcPr>
          <w:p w14:paraId="5046A7FC"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0.523</w:t>
            </w:r>
          </w:p>
        </w:tc>
      </w:tr>
      <w:tr w:rsidR="00504A5C" w:rsidRPr="00504A5C" w14:paraId="14075060" w14:textId="77777777" w:rsidTr="00504A5C">
        <w:trPr>
          <w:trHeight w:val="560"/>
        </w:trPr>
        <w:tc>
          <w:tcPr>
            <w:tcW w:w="3145" w:type="dxa"/>
            <w:tcBorders>
              <w:top w:val="nil"/>
              <w:left w:val="single" w:sz="4" w:space="0" w:color="auto"/>
              <w:bottom w:val="single" w:sz="4" w:space="0" w:color="auto"/>
              <w:right w:val="single" w:sz="4" w:space="0" w:color="auto"/>
            </w:tcBorders>
            <w:shd w:val="clear" w:color="auto" w:fill="auto"/>
            <w:vAlign w:val="bottom"/>
            <w:hideMark/>
          </w:tcPr>
          <w:p w14:paraId="4C203226"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Log-Linear (Outliers Addressed)</w:t>
            </w:r>
          </w:p>
        </w:tc>
        <w:tc>
          <w:tcPr>
            <w:tcW w:w="1141" w:type="dxa"/>
            <w:tcBorders>
              <w:top w:val="nil"/>
              <w:left w:val="nil"/>
              <w:bottom w:val="single" w:sz="4" w:space="0" w:color="auto"/>
              <w:right w:val="single" w:sz="4" w:space="0" w:color="auto"/>
            </w:tcBorders>
            <w:shd w:val="clear" w:color="auto" w:fill="auto"/>
            <w:noWrap/>
            <w:vAlign w:val="bottom"/>
            <w:hideMark/>
          </w:tcPr>
          <w:p w14:paraId="0A30C8AE" w14:textId="49A9C090"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120" w:type="dxa"/>
            <w:tcBorders>
              <w:top w:val="nil"/>
              <w:left w:val="nil"/>
              <w:bottom w:val="single" w:sz="4" w:space="0" w:color="auto"/>
              <w:right w:val="single" w:sz="4" w:space="0" w:color="auto"/>
            </w:tcBorders>
            <w:shd w:val="clear" w:color="auto" w:fill="auto"/>
            <w:noWrap/>
            <w:vAlign w:val="bottom"/>
            <w:hideMark/>
          </w:tcPr>
          <w:p w14:paraId="0C8F6BC5" w14:textId="1E3A9A4C"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393" w:type="dxa"/>
            <w:tcBorders>
              <w:top w:val="nil"/>
              <w:left w:val="nil"/>
              <w:bottom w:val="single" w:sz="4" w:space="0" w:color="auto"/>
              <w:right w:val="single" w:sz="4" w:space="0" w:color="auto"/>
            </w:tcBorders>
            <w:shd w:val="clear" w:color="auto" w:fill="auto"/>
            <w:noWrap/>
            <w:vAlign w:val="bottom"/>
            <w:hideMark/>
          </w:tcPr>
          <w:p w14:paraId="75260CA6" w14:textId="23926FAE"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801" w:type="dxa"/>
            <w:tcBorders>
              <w:top w:val="nil"/>
              <w:left w:val="nil"/>
              <w:bottom w:val="single" w:sz="4" w:space="0" w:color="auto"/>
              <w:right w:val="single" w:sz="4" w:space="0" w:color="auto"/>
            </w:tcBorders>
            <w:shd w:val="clear" w:color="auto" w:fill="auto"/>
            <w:noWrap/>
            <w:vAlign w:val="bottom"/>
            <w:hideMark/>
          </w:tcPr>
          <w:p w14:paraId="4FC04353" w14:textId="63F51122"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027" w:type="dxa"/>
            <w:tcBorders>
              <w:top w:val="nil"/>
              <w:left w:val="nil"/>
              <w:bottom w:val="single" w:sz="4" w:space="0" w:color="auto"/>
              <w:right w:val="single" w:sz="4" w:space="0" w:color="auto"/>
            </w:tcBorders>
            <w:shd w:val="clear" w:color="auto" w:fill="auto"/>
            <w:noWrap/>
            <w:vAlign w:val="bottom"/>
            <w:hideMark/>
          </w:tcPr>
          <w:p w14:paraId="1DE3AD48" w14:textId="053D80C3"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872" w:type="dxa"/>
            <w:tcBorders>
              <w:top w:val="nil"/>
              <w:left w:val="nil"/>
              <w:bottom w:val="single" w:sz="4" w:space="0" w:color="auto"/>
              <w:right w:val="single" w:sz="4" w:space="0" w:color="auto"/>
            </w:tcBorders>
            <w:shd w:val="clear" w:color="auto" w:fill="auto"/>
            <w:noWrap/>
            <w:vAlign w:val="bottom"/>
            <w:hideMark/>
          </w:tcPr>
          <w:p w14:paraId="427B6CBC"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0.525</w:t>
            </w:r>
          </w:p>
        </w:tc>
      </w:tr>
      <w:tr w:rsidR="00504A5C" w:rsidRPr="00504A5C" w14:paraId="33CBBF3A" w14:textId="77777777" w:rsidTr="00504A5C">
        <w:trPr>
          <w:trHeight w:val="560"/>
        </w:trPr>
        <w:tc>
          <w:tcPr>
            <w:tcW w:w="3145" w:type="dxa"/>
            <w:tcBorders>
              <w:top w:val="nil"/>
              <w:left w:val="single" w:sz="4" w:space="0" w:color="auto"/>
              <w:bottom w:val="single" w:sz="4" w:space="0" w:color="auto"/>
              <w:right w:val="single" w:sz="4" w:space="0" w:color="auto"/>
            </w:tcBorders>
            <w:shd w:val="clear" w:color="auto" w:fill="auto"/>
            <w:vAlign w:val="bottom"/>
            <w:hideMark/>
          </w:tcPr>
          <w:p w14:paraId="77A331D0"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Linear-Log (Outliers Addressed)</w:t>
            </w:r>
          </w:p>
        </w:tc>
        <w:tc>
          <w:tcPr>
            <w:tcW w:w="1141" w:type="dxa"/>
            <w:tcBorders>
              <w:top w:val="nil"/>
              <w:left w:val="nil"/>
              <w:bottom w:val="single" w:sz="4" w:space="0" w:color="auto"/>
              <w:right w:val="single" w:sz="4" w:space="0" w:color="auto"/>
            </w:tcBorders>
            <w:shd w:val="clear" w:color="auto" w:fill="auto"/>
            <w:noWrap/>
            <w:vAlign w:val="bottom"/>
            <w:hideMark/>
          </w:tcPr>
          <w:p w14:paraId="4ABAE894" w14:textId="104D33C6"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120" w:type="dxa"/>
            <w:tcBorders>
              <w:top w:val="nil"/>
              <w:left w:val="nil"/>
              <w:bottom w:val="single" w:sz="4" w:space="0" w:color="auto"/>
              <w:right w:val="single" w:sz="4" w:space="0" w:color="auto"/>
            </w:tcBorders>
            <w:shd w:val="clear" w:color="auto" w:fill="auto"/>
            <w:noWrap/>
            <w:vAlign w:val="bottom"/>
            <w:hideMark/>
          </w:tcPr>
          <w:p w14:paraId="7F7964E1" w14:textId="77777777" w:rsidR="00504A5C" w:rsidRPr="00504A5C" w:rsidRDefault="00504A5C" w:rsidP="00504A5C">
            <w:pP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 </w:t>
            </w:r>
          </w:p>
        </w:tc>
        <w:tc>
          <w:tcPr>
            <w:tcW w:w="1393" w:type="dxa"/>
            <w:tcBorders>
              <w:top w:val="nil"/>
              <w:left w:val="nil"/>
              <w:bottom w:val="single" w:sz="4" w:space="0" w:color="auto"/>
              <w:right w:val="single" w:sz="4" w:space="0" w:color="auto"/>
            </w:tcBorders>
            <w:shd w:val="clear" w:color="auto" w:fill="auto"/>
            <w:noWrap/>
            <w:vAlign w:val="bottom"/>
            <w:hideMark/>
          </w:tcPr>
          <w:p w14:paraId="6F201A40" w14:textId="43D33D94"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801" w:type="dxa"/>
            <w:tcBorders>
              <w:top w:val="nil"/>
              <w:left w:val="nil"/>
              <w:bottom w:val="single" w:sz="4" w:space="0" w:color="auto"/>
              <w:right w:val="single" w:sz="4" w:space="0" w:color="auto"/>
            </w:tcBorders>
            <w:shd w:val="clear" w:color="auto" w:fill="auto"/>
            <w:noWrap/>
            <w:vAlign w:val="bottom"/>
            <w:hideMark/>
          </w:tcPr>
          <w:p w14:paraId="3D9BF5AC" w14:textId="2D384D2A"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027" w:type="dxa"/>
            <w:tcBorders>
              <w:top w:val="nil"/>
              <w:left w:val="nil"/>
              <w:bottom w:val="single" w:sz="4" w:space="0" w:color="auto"/>
              <w:right w:val="single" w:sz="4" w:space="0" w:color="auto"/>
            </w:tcBorders>
            <w:shd w:val="clear" w:color="auto" w:fill="auto"/>
            <w:noWrap/>
            <w:vAlign w:val="bottom"/>
            <w:hideMark/>
          </w:tcPr>
          <w:p w14:paraId="232C9B08" w14:textId="23817F33"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872" w:type="dxa"/>
            <w:tcBorders>
              <w:top w:val="nil"/>
              <w:left w:val="nil"/>
              <w:bottom w:val="single" w:sz="4" w:space="0" w:color="auto"/>
              <w:right w:val="single" w:sz="4" w:space="0" w:color="auto"/>
            </w:tcBorders>
            <w:shd w:val="clear" w:color="auto" w:fill="auto"/>
            <w:noWrap/>
            <w:vAlign w:val="bottom"/>
            <w:hideMark/>
          </w:tcPr>
          <w:p w14:paraId="014449B1"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0.0498</w:t>
            </w:r>
          </w:p>
        </w:tc>
      </w:tr>
      <w:tr w:rsidR="00504A5C" w:rsidRPr="00504A5C" w14:paraId="3222D664" w14:textId="77777777" w:rsidTr="00504A5C">
        <w:trPr>
          <w:trHeight w:val="560"/>
        </w:trPr>
        <w:tc>
          <w:tcPr>
            <w:tcW w:w="3145" w:type="dxa"/>
            <w:tcBorders>
              <w:top w:val="nil"/>
              <w:left w:val="single" w:sz="4" w:space="0" w:color="auto"/>
              <w:bottom w:val="single" w:sz="4" w:space="0" w:color="auto"/>
              <w:right w:val="single" w:sz="4" w:space="0" w:color="auto"/>
            </w:tcBorders>
            <w:shd w:val="clear" w:color="auto" w:fill="auto"/>
            <w:vAlign w:val="bottom"/>
            <w:hideMark/>
          </w:tcPr>
          <w:p w14:paraId="2A73E931"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Log-Log (Outliers Addressed)</w:t>
            </w:r>
          </w:p>
        </w:tc>
        <w:tc>
          <w:tcPr>
            <w:tcW w:w="1141" w:type="dxa"/>
            <w:tcBorders>
              <w:top w:val="nil"/>
              <w:left w:val="nil"/>
              <w:bottom w:val="single" w:sz="4" w:space="0" w:color="auto"/>
              <w:right w:val="single" w:sz="4" w:space="0" w:color="auto"/>
            </w:tcBorders>
            <w:shd w:val="clear" w:color="auto" w:fill="auto"/>
            <w:noWrap/>
            <w:vAlign w:val="bottom"/>
            <w:hideMark/>
          </w:tcPr>
          <w:p w14:paraId="3BC5C8F7" w14:textId="7CC7F623"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120" w:type="dxa"/>
            <w:tcBorders>
              <w:top w:val="nil"/>
              <w:left w:val="nil"/>
              <w:bottom w:val="single" w:sz="4" w:space="0" w:color="auto"/>
              <w:right w:val="single" w:sz="4" w:space="0" w:color="auto"/>
            </w:tcBorders>
            <w:shd w:val="clear" w:color="auto" w:fill="auto"/>
            <w:noWrap/>
            <w:vAlign w:val="bottom"/>
            <w:hideMark/>
          </w:tcPr>
          <w:p w14:paraId="2DBB8ADA" w14:textId="77777777" w:rsidR="00504A5C" w:rsidRPr="00504A5C" w:rsidRDefault="00504A5C" w:rsidP="00504A5C">
            <w:pP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 </w:t>
            </w:r>
          </w:p>
        </w:tc>
        <w:tc>
          <w:tcPr>
            <w:tcW w:w="1393" w:type="dxa"/>
            <w:tcBorders>
              <w:top w:val="nil"/>
              <w:left w:val="nil"/>
              <w:bottom w:val="single" w:sz="4" w:space="0" w:color="auto"/>
              <w:right w:val="single" w:sz="4" w:space="0" w:color="auto"/>
            </w:tcBorders>
            <w:shd w:val="clear" w:color="auto" w:fill="auto"/>
            <w:noWrap/>
            <w:vAlign w:val="bottom"/>
            <w:hideMark/>
          </w:tcPr>
          <w:p w14:paraId="0ECAAA8F" w14:textId="19EE28AA"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801" w:type="dxa"/>
            <w:tcBorders>
              <w:top w:val="nil"/>
              <w:left w:val="nil"/>
              <w:bottom w:val="single" w:sz="4" w:space="0" w:color="auto"/>
              <w:right w:val="single" w:sz="4" w:space="0" w:color="auto"/>
            </w:tcBorders>
            <w:shd w:val="clear" w:color="auto" w:fill="auto"/>
            <w:noWrap/>
            <w:vAlign w:val="bottom"/>
            <w:hideMark/>
          </w:tcPr>
          <w:p w14:paraId="0FFDEFDE" w14:textId="609AC9B0"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1027" w:type="dxa"/>
            <w:tcBorders>
              <w:top w:val="nil"/>
              <w:left w:val="nil"/>
              <w:bottom w:val="single" w:sz="4" w:space="0" w:color="auto"/>
              <w:right w:val="single" w:sz="4" w:space="0" w:color="auto"/>
            </w:tcBorders>
            <w:shd w:val="clear" w:color="auto" w:fill="auto"/>
            <w:noWrap/>
            <w:vAlign w:val="bottom"/>
            <w:hideMark/>
          </w:tcPr>
          <w:p w14:paraId="1BE7C8CE" w14:textId="39F99082" w:rsidR="00504A5C" w:rsidRPr="00504A5C" w:rsidRDefault="00504A5C" w:rsidP="00504A5C">
            <w:pPr>
              <w:jc w:val="center"/>
              <w:rPr>
                <w:rFonts w:ascii="Calibri" w:eastAsia="Times New Roman" w:hAnsi="Calibri" w:cs="Times New Roman"/>
                <w:color w:val="000000"/>
                <w:sz w:val="20"/>
                <w:szCs w:val="20"/>
              </w:rPr>
            </w:pPr>
            <w:r w:rsidRPr="00504A5C">
              <w:rPr>
                <w:rFonts w:ascii="Apple Color Emoji" w:eastAsia="Apple Color Emoji" w:hAnsi="Apple Color Emoji" w:cs="Apple Color Emoji"/>
                <w:color w:val="000000"/>
                <w:sz w:val="20"/>
                <w:szCs w:val="20"/>
              </w:rPr>
              <w:t>✔</w:t>
            </w:r>
          </w:p>
        </w:tc>
        <w:tc>
          <w:tcPr>
            <w:tcW w:w="872" w:type="dxa"/>
            <w:tcBorders>
              <w:top w:val="nil"/>
              <w:left w:val="nil"/>
              <w:bottom w:val="single" w:sz="4" w:space="0" w:color="auto"/>
              <w:right w:val="single" w:sz="4" w:space="0" w:color="auto"/>
            </w:tcBorders>
            <w:shd w:val="clear" w:color="auto" w:fill="auto"/>
            <w:noWrap/>
            <w:vAlign w:val="bottom"/>
            <w:hideMark/>
          </w:tcPr>
          <w:p w14:paraId="260F404F" w14:textId="77777777" w:rsidR="00504A5C" w:rsidRPr="00504A5C" w:rsidRDefault="00504A5C" w:rsidP="00504A5C">
            <w:pPr>
              <w:jc w:val="center"/>
              <w:rPr>
                <w:rFonts w:ascii="Calibri" w:eastAsia="Times New Roman" w:hAnsi="Calibri" w:cs="Times New Roman"/>
                <w:color w:val="000000"/>
                <w:sz w:val="20"/>
                <w:szCs w:val="20"/>
              </w:rPr>
            </w:pPr>
            <w:r w:rsidRPr="00504A5C">
              <w:rPr>
                <w:rFonts w:ascii="Calibri" w:eastAsia="Times New Roman" w:hAnsi="Calibri" w:cs="Times New Roman"/>
                <w:color w:val="000000"/>
                <w:sz w:val="20"/>
                <w:szCs w:val="20"/>
              </w:rPr>
              <w:t>0.053</w:t>
            </w:r>
          </w:p>
        </w:tc>
      </w:tr>
    </w:tbl>
    <w:p w14:paraId="6058555D" w14:textId="77777777" w:rsidR="00DB2FCF" w:rsidRDefault="00DB2FCF" w:rsidP="0032416A"/>
    <w:p w14:paraId="3293CF68" w14:textId="10FAA920" w:rsidR="0032416A" w:rsidRDefault="006A139D" w:rsidP="006A139D">
      <w:pPr>
        <w:pStyle w:val="Heading2"/>
      </w:pPr>
      <w:r>
        <w:t>Assumptions</w:t>
      </w:r>
    </w:p>
    <w:p w14:paraId="2A90D2FB" w14:textId="677B39B5" w:rsidR="006A139D" w:rsidRDefault="00C1257C" w:rsidP="006A139D">
      <w:r>
        <w:t xml:space="preserve">After running 8 different models, there is sufficient evidence that the vanilla regression model using the original data (three neighborhoods) while addressing the outliers is the best fit model.  The following addresses the assumptions.  </w:t>
      </w:r>
      <w:r w:rsidRPr="00665259">
        <w:rPr>
          <w:b/>
        </w:rPr>
        <w:t>Refer to Addendum 5 for</w:t>
      </w:r>
      <w:r w:rsidR="00D9091C">
        <w:rPr>
          <w:b/>
        </w:rPr>
        <w:t xml:space="preserve"> more</w:t>
      </w:r>
      <w:r w:rsidRPr="00665259">
        <w:rPr>
          <w:b/>
        </w:rPr>
        <w:t xml:space="preserve"> charts and values</w:t>
      </w:r>
      <w:r>
        <w:t>.</w:t>
      </w:r>
    </w:p>
    <w:p w14:paraId="4C7C8F8F" w14:textId="77777777" w:rsidR="00C1257C" w:rsidRDefault="00C1257C" w:rsidP="006A139D"/>
    <w:p w14:paraId="746A695E" w14:textId="02C89330" w:rsidR="00C1257C" w:rsidRDefault="00C1257C" w:rsidP="00C1257C">
      <w:pPr>
        <w:pStyle w:val="ListParagraph"/>
        <w:numPr>
          <w:ilvl w:val="0"/>
          <w:numId w:val="3"/>
        </w:numPr>
      </w:pPr>
      <w:r w:rsidRPr="00EA0761">
        <w:rPr>
          <w:b/>
        </w:rPr>
        <w:t>Normality:</w:t>
      </w:r>
      <w:r w:rsidR="00665259">
        <w:t xml:space="preserve"> Judging by the histogram, the original data (outliers addressed) looks slightly better than the rest and shows evidence of normality. </w:t>
      </w:r>
    </w:p>
    <w:p w14:paraId="3159397B" w14:textId="5051FA4C" w:rsidR="00C1257C" w:rsidRDefault="00C1257C" w:rsidP="00C1257C">
      <w:pPr>
        <w:pStyle w:val="ListParagraph"/>
        <w:numPr>
          <w:ilvl w:val="0"/>
          <w:numId w:val="3"/>
        </w:numPr>
      </w:pPr>
      <w:r w:rsidRPr="00EA0761">
        <w:rPr>
          <w:b/>
        </w:rPr>
        <w:t>Linearity</w:t>
      </w:r>
      <w:r w:rsidR="00665259" w:rsidRPr="00EA0761">
        <w:rPr>
          <w:b/>
        </w:rPr>
        <w:t>:</w:t>
      </w:r>
      <w:r w:rsidR="00665259">
        <w:t xml:space="preserve"> Judging by the scatterplots, the original data (outliers addressed) looks slightly better than the other two outliers addressed (log-linear and linear-log).  There is sufficient evidence for linearity.</w:t>
      </w:r>
    </w:p>
    <w:p w14:paraId="46FEE0C0" w14:textId="2C8D0141" w:rsidR="00C1257C" w:rsidRDefault="00C1257C" w:rsidP="00C1257C">
      <w:pPr>
        <w:pStyle w:val="ListParagraph"/>
        <w:numPr>
          <w:ilvl w:val="0"/>
          <w:numId w:val="3"/>
        </w:numPr>
      </w:pPr>
      <w:r w:rsidRPr="00EA0761">
        <w:rPr>
          <w:b/>
        </w:rPr>
        <w:t>Equal Variance</w:t>
      </w:r>
      <w:r w:rsidR="00665259" w:rsidRPr="00EA0761">
        <w:rPr>
          <w:b/>
        </w:rPr>
        <w:t>:</w:t>
      </w:r>
      <w:r w:rsidR="00665259">
        <w:t xml:space="preserve"> Judging by the residual scatterplots and </w:t>
      </w:r>
      <w:proofErr w:type="spellStart"/>
      <w:r w:rsidR="00665259">
        <w:t>QQplot</w:t>
      </w:r>
      <w:proofErr w:type="spellEnd"/>
      <w:r w:rsidR="00665259">
        <w:t>, the original data (outliers addressed) looks better than the rest and shows sufficient evidence for equal variance.</w:t>
      </w:r>
    </w:p>
    <w:p w14:paraId="3B010103" w14:textId="1D053C49" w:rsidR="00C1257C" w:rsidRDefault="00C1257C" w:rsidP="00C1257C">
      <w:pPr>
        <w:pStyle w:val="ListParagraph"/>
        <w:numPr>
          <w:ilvl w:val="0"/>
          <w:numId w:val="3"/>
        </w:numPr>
      </w:pPr>
      <w:r w:rsidRPr="00EA0761">
        <w:rPr>
          <w:b/>
        </w:rPr>
        <w:t>Independence</w:t>
      </w:r>
      <w:r w:rsidR="00665259" w:rsidRPr="00EA0761">
        <w:rPr>
          <w:b/>
        </w:rPr>
        <w:t>:</w:t>
      </w:r>
      <w:r w:rsidR="00665259">
        <w:t xml:space="preserve"> We will assume independence, although the data gathering process was not explained.</w:t>
      </w:r>
    </w:p>
    <w:p w14:paraId="3090B312" w14:textId="610148AF" w:rsidR="00C1257C" w:rsidRDefault="00C1257C" w:rsidP="00C1257C">
      <w:pPr>
        <w:pStyle w:val="ListParagraph"/>
        <w:numPr>
          <w:ilvl w:val="0"/>
          <w:numId w:val="3"/>
        </w:numPr>
      </w:pPr>
      <w:r w:rsidRPr="00EA0761">
        <w:rPr>
          <w:b/>
        </w:rPr>
        <w:lastRenderedPageBreak/>
        <w:t>Outliers</w:t>
      </w:r>
      <w:r w:rsidR="00665259" w:rsidRPr="00EA0761">
        <w:rPr>
          <w:b/>
        </w:rPr>
        <w:t xml:space="preserve">: </w:t>
      </w:r>
      <w:r w:rsidR="00665259">
        <w:t xml:space="preserve">There are a few outliers that were addressed.  Specifically, homes in the Edwards neighborhood with living area greater than 4,000 sq. </w:t>
      </w:r>
      <w:proofErr w:type="spellStart"/>
      <w:r w:rsidR="00665259">
        <w:t>ft</w:t>
      </w:r>
      <w:proofErr w:type="spellEnd"/>
      <w:r w:rsidR="00665259">
        <w:t xml:space="preserve"> and two homes (one in Edwards and </w:t>
      </w:r>
      <w:proofErr w:type="spellStart"/>
      <w:r w:rsidR="00665259">
        <w:t>NAmes</w:t>
      </w:r>
      <w:proofErr w:type="spellEnd"/>
      <w:r w:rsidR="00665259">
        <w:t>) with sale price over $300,000.</w:t>
      </w:r>
    </w:p>
    <w:p w14:paraId="2E177379" w14:textId="77777777" w:rsidR="002A4DA6" w:rsidRDefault="002A4DA6" w:rsidP="002A4DA6">
      <w:pPr>
        <w:pStyle w:val="ListParagraph"/>
      </w:pPr>
    </w:p>
    <w:p w14:paraId="3F31AB6C" w14:textId="5B3718FA" w:rsidR="00D9091C" w:rsidRDefault="00D9091C" w:rsidP="00D9091C">
      <w:pPr>
        <w:pStyle w:val="Heading2"/>
      </w:pPr>
      <w:r>
        <w:t>Residual Plots</w:t>
      </w:r>
    </w:p>
    <w:p w14:paraId="54B5A25A" w14:textId="77777777" w:rsidR="002A4DA6" w:rsidRPr="002A4DA6" w:rsidRDefault="002A4DA6" w:rsidP="002A4DA6"/>
    <w:p w14:paraId="6F8A34CF" w14:textId="6BC60536" w:rsidR="00D9091C" w:rsidRDefault="002A4DA6" w:rsidP="002A4DA6">
      <w:pPr>
        <w:jc w:val="center"/>
      </w:pPr>
      <w:r w:rsidRPr="00E7197E">
        <w:rPr>
          <w:noProof/>
        </w:rPr>
        <w:drawing>
          <wp:inline distT="0" distB="0" distL="0" distR="0" wp14:anchorId="26C2D304" wp14:editId="40C704FF">
            <wp:extent cx="3982720" cy="2987040"/>
            <wp:effectExtent l="0" t="0" r="508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983015" cy="2987261"/>
                    </a:xfrm>
                    <a:prstGeom prst="rect">
                      <a:avLst/>
                    </a:prstGeom>
                  </pic:spPr>
                </pic:pic>
              </a:graphicData>
            </a:graphic>
          </wp:inline>
        </w:drawing>
      </w:r>
    </w:p>
    <w:p w14:paraId="398370B1" w14:textId="7E289D65" w:rsidR="00D9091C" w:rsidRDefault="00D9091C" w:rsidP="00D9091C"/>
    <w:p w14:paraId="2418DC97" w14:textId="77777777" w:rsidR="00D9091C" w:rsidRDefault="00D9091C" w:rsidP="00D9091C">
      <w:pPr>
        <w:pStyle w:val="Heading2"/>
      </w:pPr>
      <w:r>
        <w:t>Influential Point Analysis (Cook’s D and Leverage)</w:t>
      </w:r>
    </w:p>
    <w:p w14:paraId="35D4C90C" w14:textId="77777777" w:rsidR="00D9091C" w:rsidRDefault="00D9091C" w:rsidP="00503DE8"/>
    <w:p w14:paraId="025FF161" w14:textId="35BBCB4A" w:rsidR="002A4DA6" w:rsidRDefault="002A4DA6" w:rsidP="002A4DA6">
      <w:pPr>
        <w:jc w:val="center"/>
      </w:pPr>
      <w:r w:rsidRPr="00E7197E">
        <w:rPr>
          <w:noProof/>
        </w:rPr>
        <w:drawing>
          <wp:inline distT="0" distB="0" distL="0" distR="0" wp14:anchorId="0072A071" wp14:editId="4881CF44">
            <wp:extent cx="3698240" cy="3698240"/>
            <wp:effectExtent l="0" t="0" r="1016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98240" cy="3698240"/>
                    </a:xfrm>
                    <a:prstGeom prst="rect">
                      <a:avLst/>
                    </a:prstGeom>
                  </pic:spPr>
                </pic:pic>
              </a:graphicData>
            </a:graphic>
          </wp:inline>
        </w:drawing>
      </w:r>
    </w:p>
    <w:p w14:paraId="706770E2" w14:textId="77777777" w:rsidR="00D9091C" w:rsidRDefault="00D9091C" w:rsidP="00D9091C">
      <w:pPr>
        <w:pStyle w:val="Heading2"/>
      </w:pPr>
      <w:r>
        <w:lastRenderedPageBreak/>
        <w:t>Model</w:t>
      </w:r>
    </w:p>
    <w:p w14:paraId="4B6278F3" w14:textId="77777777" w:rsidR="00D9091C" w:rsidRDefault="00D9091C" w:rsidP="00D9091C">
      <w:r>
        <w:t xml:space="preserve">The model assigns </w:t>
      </w:r>
      <w:proofErr w:type="spellStart"/>
      <w:r>
        <w:t>SalePrice</w:t>
      </w:r>
      <w:proofErr w:type="spellEnd"/>
      <w:r>
        <w:t xml:space="preserve"> as the response variable and </w:t>
      </w:r>
      <w:proofErr w:type="spellStart"/>
      <w:r>
        <w:t>GrLivArea</w:t>
      </w:r>
      <w:proofErr w:type="spellEnd"/>
      <w:r>
        <w:t xml:space="preserve"> as the explanatory variable.  Based on the scatterplots, there is strong evidence the model will have different slopes and intercepts for each significant parameter. </w:t>
      </w:r>
    </w:p>
    <w:p w14:paraId="1BC6DD05" w14:textId="77777777" w:rsidR="00D9091C" w:rsidRDefault="00D9091C" w:rsidP="00D9091C"/>
    <w:p w14:paraId="3719BB05" w14:textId="77777777" w:rsidR="00D9091C" w:rsidRDefault="00D9091C" w:rsidP="00D9091C">
      <w:pPr>
        <w:rPr>
          <w:rFonts w:ascii="beta" w:hAnsi="beta"/>
          <w:b/>
        </w:rPr>
      </w:pPr>
      <w:r>
        <w:tab/>
      </w:r>
      <w:r w:rsidRPr="00F009A0">
        <w:rPr>
          <w:b/>
        </w:rPr>
        <w:t xml:space="preserve">Predicted </w:t>
      </w:r>
      <w:proofErr w:type="spellStart"/>
      <w:r w:rsidRPr="00F009A0">
        <w:rPr>
          <w:b/>
        </w:rPr>
        <w:t>SalePrice</w:t>
      </w:r>
      <w:proofErr w:type="spellEnd"/>
      <w:r w:rsidRPr="00F009A0">
        <w:rPr>
          <w:b/>
        </w:rPr>
        <w:t xml:space="preserve"> = </w:t>
      </w:r>
      <w:r w:rsidRPr="00F009A0">
        <w:rPr>
          <w:rFonts w:ascii="beta" w:hAnsi="beta"/>
          <w:b/>
        </w:rPr>
        <w:t>ß0 + ß1 (</w:t>
      </w:r>
      <w:proofErr w:type="spellStart"/>
      <w:r w:rsidRPr="00F009A0">
        <w:rPr>
          <w:rFonts w:ascii="beta" w:hAnsi="beta"/>
          <w:b/>
        </w:rPr>
        <w:t>GrLivArea</w:t>
      </w:r>
      <w:proofErr w:type="spellEnd"/>
      <w:r w:rsidRPr="00F009A0">
        <w:rPr>
          <w:rFonts w:ascii="beta" w:hAnsi="beta"/>
          <w:b/>
        </w:rPr>
        <w:t>) + ß2 (</w:t>
      </w:r>
      <w:proofErr w:type="spellStart"/>
      <w:r w:rsidRPr="00F009A0">
        <w:rPr>
          <w:rFonts w:ascii="beta" w:hAnsi="beta"/>
          <w:b/>
        </w:rPr>
        <w:t>GrLivArea</w:t>
      </w:r>
      <w:proofErr w:type="spellEnd"/>
      <w:r w:rsidRPr="00F009A0">
        <w:rPr>
          <w:rFonts w:ascii="beta" w:hAnsi="beta"/>
          <w:b/>
        </w:rPr>
        <w:t xml:space="preserve"> * </w:t>
      </w:r>
      <w:proofErr w:type="spellStart"/>
      <w:r w:rsidRPr="00F009A0">
        <w:rPr>
          <w:rFonts w:ascii="beta" w:hAnsi="beta"/>
          <w:b/>
        </w:rPr>
        <w:t>NAmes</w:t>
      </w:r>
      <w:proofErr w:type="spellEnd"/>
      <w:r w:rsidRPr="00F009A0">
        <w:rPr>
          <w:rFonts w:ascii="beta" w:hAnsi="beta"/>
          <w:b/>
        </w:rPr>
        <w:t xml:space="preserve">) + </w:t>
      </w:r>
    </w:p>
    <w:p w14:paraId="71287D1D" w14:textId="77777777" w:rsidR="00D9091C" w:rsidRDefault="00D9091C" w:rsidP="00D9091C">
      <w:pPr>
        <w:ind w:left="2880"/>
        <w:rPr>
          <w:rFonts w:ascii="beta" w:hAnsi="beta"/>
          <w:b/>
        </w:rPr>
      </w:pPr>
      <w:r w:rsidRPr="00F009A0">
        <w:rPr>
          <w:rFonts w:ascii="beta" w:hAnsi="beta"/>
          <w:b/>
        </w:rPr>
        <w:t>ß3 (</w:t>
      </w:r>
      <w:proofErr w:type="spellStart"/>
      <w:r w:rsidRPr="00F009A0">
        <w:rPr>
          <w:rFonts w:ascii="beta" w:hAnsi="beta"/>
          <w:b/>
        </w:rPr>
        <w:t>GrLivArea</w:t>
      </w:r>
      <w:proofErr w:type="spellEnd"/>
      <w:r w:rsidRPr="00F009A0">
        <w:rPr>
          <w:rFonts w:ascii="beta" w:hAnsi="beta"/>
          <w:b/>
        </w:rPr>
        <w:t xml:space="preserve"> * Edwards) + ß4 (</w:t>
      </w:r>
      <w:proofErr w:type="spellStart"/>
      <w:r w:rsidRPr="00F009A0">
        <w:rPr>
          <w:rFonts w:ascii="beta" w:hAnsi="beta"/>
          <w:b/>
        </w:rPr>
        <w:t>GrLivArea</w:t>
      </w:r>
      <w:proofErr w:type="spellEnd"/>
      <w:r w:rsidRPr="00F009A0">
        <w:rPr>
          <w:rFonts w:ascii="beta" w:hAnsi="beta"/>
          <w:b/>
        </w:rPr>
        <w:t xml:space="preserve"> * </w:t>
      </w:r>
      <w:proofErr w:type="spellStart"/>
      <w:r w:rsidRPr="00F009A0">
        <w:rPr>
          <w:rFonts w:ascii="beta" w:hAnsi="beta"/>
          <w:b/>
        </w:rPr>
        <w:t>BrkSide</w:t>
      </w:r>
      <w:proofErr w:type="spellEnd"/>
      <w:r w:rsidRPr="00F009A0">
        <w:rPr>
          <w:rFonts w:ascii="beta" w:hAnsi="beta"/>
          <w:b/>
        </w:rPr>
        <w:t>)</w:t>
      </w:r>
    </w:p>
    <w:p w14:paraId="02882D9F" w14:textId="77777777" w:rsidR="00D9091C" w:rsidRDefault="00D9091C" w:rsidP="00D9091C">
      <w:pPr>
        <w:pStyle w:val="Heading2"/>
      </w:pPr>
    </w:p>
    <w:p w14:paraId="5CCE462F" w14:textId="3954BA9F" w:rsidR="00D9091C" w:rsidRDefault="00D9091C" w:rsidP="00D9091C">
      <w:pPr>
        <w:pStyle w:val="Heading2"/>
      </w:pPr>
      <w:r>
        <w:t>Fitted Model</w:t>
      </w:r>
    </w:p>
    <w:p w14:paraId="049DC8E3" w14:textId="77777777" w:rsidR="00CC539D" w:rsidRDefault="00CC539D" w:rsidP="00CC539D"/>
    <w:p w14:paraId="343070E0" w14:textId="2A9D4963" w:rsidR="00CC539D" w:rsidRDefault="00CC539D" w:rsidP="00CC539D">
      <w:pPr>
        <w:pStyle w:val="Heading2"/>
      </w:pPr>
      <w:r>
        <w:t>Model Metrics</w:t>
      </w:r>
    </w:p>
    <w:p w14:paraId="6F153121" w14:textId="77777777" w:rsidR="00CC539D" w:rsidRDefault="00CC539D" w:rsidP="00CC539D"/>
    <w:p w14:paraId="1B0ABAD9" w14:textId="1F09B990" w:rsidR="00CC539D" w:rsidRDefault="00CC539D" w:rsidP="00CC539D">
      <w:pPr>
        <w:pStyle w:val="Heading3"/>
      </w:pPr>
      <w:proofErr w:type="spellStart"/>
      <w:r>
        <w:t>Adj</w:t>
      </w:r>
      <w:proofErr w:type="spellEnd"/>
      <w:r>
        <w:t xml:space="preserve"> R^2</w:t>
      </w:r>
    </w:p>
    <w:p w14:paraId="05AED40D" w14:textId="77777777" w:rsidR="00CC539D" w:rsidRDefault="00CC539D" w:rsidP="00CC539D"/>
    <w:p w14:paraId="53207DB0" w14:textId="4E7AA02A" w:rsidR="00CC539D" w:rsidRDefault="00CC539D" w:rsidP="00CC539D">
      <w:pPr>
        <w:pStyle w:val="Heading3"/>
      </w:pPr>
      <w:r>
        <w:t>Internal CV Press</w:t>
      </w:r>
    </w:p>
    <w:p w14:paraId="2082A181" w14:textId="77777777" w:rsidR="00CC539D" w:rsidRDefault="00CC539D" w:rsidP="00CC539D"/>
    <w:p w14:paraId="515F3DFA" w14:textId="2E2AF6E4" w:rsidR="00CC539D" w:rsidRDefault="00CC539D" w:rsidP="00CC539D">
      <w:pPr>
        <w:pStyle w:val="Heading2"/>
      </w:pPr>
      <w:r>
        <w:t>Parameters</w:t>
      </w:r>
    </w:p>
    <w:p w14:paraId="4DD98E0A" w14:textId="77777777" w:rsidR="00CC539D" w:rsidRDefault="00CC539D" w:rsidP="00CC539D"/>
    <w:p w14:paraId="414E59D3" w14:textId="1B58750A" w:rsidR="00CC539D" w:rsidRDefault="00CC539D" w:rsidP="00CC539D">
      <w:pPr>
        <w:pStyle w:val="Heading3"/>
      </w:pPr>
      <w:r>
        <w:t>Estimates</w:t>
      </w:r>
    </w:p>
    <w:p w14:paraId="75D8DB0D" w14:textId="77777777" w:rsidR="00CC539D" w:rsidRDefault="00CC539D" w:rsidP="00CC539D"/>
    <w:p w14:paraId="2B8EC917" w14:textId="6DC0743E" w:rsidR="00CC539D" w:rsidRDefault="00CC539D" w:rsidP="00CC539D">
      <w:pPr>
        <w:pStyle w:val="Heading3"/>
      </w:pPr>
      <w:r>
        <w:t>Interpretation</w:t>
      </w:r>
    </w:p>
    <w:p w14:paraId="1FC543A2" w14:textId="77777777" w:rsidR="00CC539D" w:rsidRDefault="00CC539D" w:rsidP="00CC539D"/>
    <w:p w14:paraId="0B3858ED" w14:textId="339E70BB" w:rsidR="00CC539D" w:rsidRDefault="00CC539D" w:rsidP="00CC539D">
      <w:pPr>
        <w:pStyle w:val="Heading3"/>
      </w:pPr>
      <w:r>
        <w:t>Confidence Intervals</w:t>
      </w:r>
    </w:p>
    <w:p w14:paraId="0BB82CE1" w14:textId="77777777" w:rsidR="00CC539D" w:rsidRDefault="00CC539D" w:rsidP="00CC539D"/>
    <w:p w14:paraId="60578A3A" w14:textId="195EBA2D" w:rsidR="00CC539D" w:rsidRPr="00CC539D" w:rsidRDefault="00CC539D" w:rsidP="00CC539D">
      <w:pPr>
        <w:pStyle w:val="Heading2"/>
      </w:pPr>
      <w:r>
        <w:t>Conclusion</w:t>
      </w:r>
    </w:p>
    <w:p w14:paraId="73D3A1A7" w14:textId="77777777" w:rsidR="00CC539D" w:rsidRDefault="00CC539D" w:rsidP="00CC539D">
      <w:r>
        <w:t>After using the vanilla regression and addressing the outliers of a living area greater than 4,000 sq. ft. and a sales price of over $300,000, there is significant evidence that both the neighborhood and square footage of the living area influence the estimated sale price of the home in Ames.  The intercept in this model provides an estimated sale pr</w:t>
      </w:r>
      <w:bookmarkStart w:id="0" w:name="_GoBack"/>
      <w:bookmarkEnd w:id="0"/>
      <w:r>
        <w:t xml:space="preserve">ice of $80,327 for a house with a living area of one hundred square feet in the </w:t>
      </w:r>
      <w:proofErr w:type="spellStart"/>
      <w:r>
        <w:t>NAmes</w:t>
      </w:r>
      <w:proofErr w:type="spellEnd"/>
      <w:r>
        <w:t xml:space="preserve"> neighborhood.  For a house with a living area of one hundred square feet, the model gives us an estimated sales price decrease of $60,354 for the </w:t>
      </w:r>
      <w:proofErr w:type="spellStart"/>
      <w:r>
        <w:t>BrkSide</w:t>
      </w:r>
      <w:proofErr w:type="spellEnd"/>
      <w:r>
        <w:t xml:space="preserve"> neighborhood and an estimated sales price decrease of $43,225 for the Edwards neighborhood. For every increased living area of one hundred square feet the estimated sales price increases $4,956 for a home in the </w:t>
      </w:r>
      <w:proofErr w:type="spellStart"/>
      <w:r>
        <w:t>NAmes</w:t>
      </w:r>
      <w:proofErr w:type="spellEnd"/>
      <w:r>
        <w:t xml:space="preserve"> neighborhood, the estimated sales price increases $3,780 in the </w:t>
      </w:r>
      <w:proofErr w:type="spellStart"/>
      <w:r>
        <w:t>BrkSide</w:t>
      </w:r>
      <w:proofErr w:type="spellEnd"/>
      <w:r>
        <w:t xml:space="preserve"> neighborhood and the estimated sale price increases $2,059 in the Edwards neighborhood.</w:t>
      </w:r>
    </w:p>
    <w:p w14:paraId="18ED721D" w14:textId="77777777" w:rsidR="00CC539D" w:rsidRDefault="00CC539D" w:rsidP="00CC539D"/>
    <w:p w14:paraId="683F927B" w14:textId="77777777" w:rsidR="00CC539D" w:rsidRDefault="00CC539D" w:rsidP="00CC539D">
      <w:pPr>
        <w:ind w:left="720"/>
      </w:pPr>
      <w:proofErr w:type="spellStart"/>
      <w:r>
        <w:t>PredictedSalesPrice</w:t>
      </w:r>
      <w:proofErr w:type="spellEnd"/>
      <w:r>
        <w:t xml:space="preserve"> = ß0 + ß1 * (</w:t>
      </w:r>
      <w:proofErr w:type="spellStart"/>
      <w:r>
        <w:t>BrkSide</w:t>
      </w:r>
      <w:proofErr w:type="spellEnd"/>
      <w:r>
        <w:t>) + ß2 * (Edwards) + ß3 * (GrLivAreaper100) + ß4 * (</w:t>
      </w:r>
      <w:proofErr w:type="spellStart"/>
      <w:r>
        <w:t>BrkSide</w:t>
      </w:r>
      <w:proofErr w:type="spellEnd"/>
      <w:r>
        <w:t xml:space="preserve"> * GrLivAreaper100) + ß5 * (Edwards * GrLivAreaper100)</w:t>
      </w:r>
    </w:p>
    <w:p w14:paraId="69E3719E" w14:textId="77777777" w:rsidR="00CC539D" w:rsidRDefault="00CC539D" w:rsidP="00CC539D">
      <w:pPr>
        <w:ind w:left="720"/>
      </w:pPr>
    </w:p>
    <w:p w14:paraId="558A9AAE" w14:textId="77777777" w:rsidR="00CC539D" w:rsidRDefault="00CC539D" w:rsidP="00CC539D">
      <w:pPr>
        <w:ind w:left="720"/>
      </w:pPr>
      <w:proofErr w:type="spellStart"/>
      <w:r>
        <w:t>PredictedSalesPrice</w:t>
      </w:r>
      <w:proofErr w:type="spellEnd"/>
      <w:r>
        <w:t xml:space="preserve"> = $80,325 – $60,354 * (</w:t>
      </w:r>
      <w:proofErr w:type="spellStart"/>
      <w:r>
        <w:t>BrkSide</w:t>
      </w:r>
      <w:proofErr w:type="spellEnd"/>
      <w:r>
        <w:t>) – $43,225 * (Edwards) + $4,956 * (GrLivAreaper100) + $3,760 * (</w:t>
      </w:r>
      <w:proofErr w:type="spellStart"/>
      <w:r>
        <w:t>BrkSide</w:t>
      </w:r>
      <w:proofErr w:type="spellEnd"/>
      <w:r>
        <w:t xml:space="preserve"> * GrLivAreaper100) + $2,059 * (Edwards * GrLivAreaper100)</w:t>
      </w:r>
    </w:p>
    <w:p w14:paraId="415CEEB6" w14:textId="77777777" w:rsidR="00CC539D" w:rsidRDefault="00CC539D" w:rsidP="00CC539D">
      <w:pPr>
        <w:ind w:left="720"/>
      </w:pPr>
    </w:p>
    <w:p w14:paraId="253E8C5E" w14:textId="77777777" w:rsidR="00CC539D" w:rsidRDefault="00CC539D" w:rsidP="00CC539D">
      <w:pPr>
        <w:ind w:left="720"/>
      </w:pPr>
      <w:proofErr w:type="spellStart"/>
      <w:r>
        <w:t>NAmes</w:t>
      </w:r>
      <w:proofErr w:type="spellEnd"/>
      <w:r>
        <w:t xml:space="preserve"> Neighborhood:</w:t>
      </w:r>
    </w:p>
    <w:p w14:paraId="6B9BBA3A" w14:textId="77777777" w:rsidR="00CC539D" w:rsidRDefault="00CC539D" w:rsidP="00CC539D">
      <w:pPr>
        <w:ind w:left="720"/>
      </w:pPr>
      <w:proofErr w:type="spellStart"/>
      <w:r>
        <w:t>PredictedSalesPrice</w:t>
      </w:r>
      <w:proofErr w:type="spellEnd"/>
      <w:r>
        <w:t>= $80,325 + $4,956 * GrLivAreaper100</w:t>
      </w:r>
    </w:p>
    <w:p w14:paraId="5044393B" w14:textId="77777777" w:rsidR="00CC539D" w:rsidRDefault="00CC539D" w:rsidP="00CC539D">
      <w:pPr>
        <w:ind w:left="720"/>
      </w:pPr>
    </w:p>
    <w:p w14:paraId="64547781" w14:textId="77777777" w:rsidR="00CC539D" w:rsidRDefault="00CC539D" w:rsidP="00CC539D">
      <w:pPr>
        <w:ind w:left="720"/>
      </w:pPr>
      <w:proofErr w:type="spellStart"/>
      <w:r>
        <w:t>BrkSide</w:t>
      </w:r>
      <w:proofErr w:type="spellEnd"/>
      <w:r>
        <w:t xml:space="preserve"> Neighborhood:</w:t>
      </w:r>
    </w:p>
    <w:p w14:paraId="17797F5C" w14:textId="77777777" w:rsidR="00CC539D" w:rsidRDefault="00CC539D" w:rsidP="00CC539D">
      <w:pPr>
        <w:ind w:left="720"/>
      </w:pPr>
      <w:proofErr w:type="spellStart"/>
      <w:r>
        <w:t>PredictedSalesPrice</w:t>
      </w:r>
      <w:proofErr w:type="spellEnd"/>
      <w:r>
        <w:t>= $19,971 + $8,716 * GrLivAreaper100</w:t>
      </w:r>
    </w:p>
    <w:p w14:paraId="2B17AAB0" w14:textId="77777777" w:rsidR="00CC539D" w:rsidRDefault="00CC539D" w:rsidP="00CC539D">
      <w:pPr>
        <w:ind w:left="720"/>
      </w:pPr>
    </w:p>
    <w:p w14:paraId="45FBF99B" w14:textId="77777777" w:rsidR="00CC539D" w:rsidRDefault="00CC539D" w:rsidP="00CC539D">
      <w:pPr>
        <w:ind w:left="720"/>
      </w:pPr>
      <w:r>
        <w:t>Edwards Neighborhood:</w:t>
      </w:r>
    </w:p>
    <w:p w14:paraId="3D4AE7A8" w14:textId="2B3B055B" w:rsidR="00D9091C" w:rsidRDefault="00CC539D" w:rsidP="00A80CE4">
      <w:pPr>
        <w:ind w:left="720"/>
      </w:pPr>
      <w:proofErr w:type="spellStart"/>
      <w:r>
        <w:t>PredictedSalesPrice</w:t>
      </w:r>
      <w:proofErr w:type="spellEnd"/>
      <w:r>
        <w:t>= $37,100 + $7,015 * GrLivAreaper100</w:t>
      </w:r>
    </w:p>
    <w:p w14:paraId="22158517" w14:textId="77777777" w:rsidR="00D9091C" w:rsidRDefault="00D9091C" w:rsidP="00D9091C"/>
    <w:p w14:paraId="3AB7CBD9" w14:textId="77777777" w:rsidR="00D9091C" w:rsidRPr="00D9091C" w:rsidRDefault="00D9091C" w:rsidP="00D9091C"/>
    <w:sectPr w:rsidR="00D9091C" w:rsidRPr="00D9091C" w:rsidSect="0022518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pple Color Emoji">
    <w:charset w:val="00"/>
    <w:family w:val="auto"/>
    <w:pitch w:val="variable"/>
    <w:sig w:usb0="00000003" w:usb1="18000000" w:usb2="14000000" w:usb3="00000000" w:csb0="00000001" w:csb1="00000000"/>
  </w:font>
  <w:font w:name="beta">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4A2834"/>
    <w:multiLevelType w:val="hybridMultilevel"/>
    <w:tmpl w:val="CBE22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701016"/>
    <w:multiLevelType w:val="hybridMultilevel"/>
    <w:tmpl w:val="E820C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9F73FB"/>
    <w:multiLevelType w:val="hybridMultilevel"/>
    <w:tmpl w:val="CBE22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AMO_UniqueIdentifier" w:val="b5625ef2-a56f-4e56-bb73-5c62983a8024"/>
  </w:docVars>
  <w:rsids>
    <w:rsidRoot w:val="00302EDC"/>
    <w:rsid w:val="00002811"/>
    <w:rsid w:val="00002900"/>
    <w:rsid w:val="00034555"/>
    <w:rsid w:val="000D7007"/>
    <w:rsid w:val="000E1874"/>
    <w:rsid w:val="00141F81"/>
    <w:rsid w:val="001A2E6B"/>
    <w:rsid w:val="00225183"/>
    <w:rsid w:val="00254BAD"/>
    <w:rsid w:val="002578A3"/>
    <w:rsid w:val="002A0229"/>
    <w:rsid w:val="002A4DA6"/>
    <w:rsid w:val="002B0A64"/>
    <w:rsid w:val="002C5DB0"/>
    <w:rsid w:val="002E15CC"/>
    <w:rsid w:val="002F731E"/>
    <w:rsid w:val="00302EDC"/>
    <w:rsid w:val="0032416A"/>
    <w:rsid w:val="00374A19"/>
    <w:rsid w:val="003843CE"/>
    <w:rsid w:val="003F7B13"/>
    <w:rsid w:val="00441686"/>
    <w:rsid w:val="00496AD4"/>
    <w:rsid w:val="004B45F8"/>
    <w:rsid w:val="00503DE8"/>
    <w:rsid w:val="00504A5C"/>
    <w:rsid w:val="00514177"/>
    <w:rsid w:val="00531AEC"/>
    <w:rsid w:val="005450C1"/>
    <w:rsid w:val="00571347"/>
    <w:rsid w:val="005A5C93"/>
    <w:rsid w:val="00622564"/>
    <w:rsid w:val="00665259"/>
    <w:rsid w:val="006A139D"/>
    <w:rsid w:val="00706B0C"/>
    <w:rsid w:val="007640C0"/>
    <w:rsid w:val="007E203C"/>
    <w:rsid w:val="007E6687"/>
    <w:rsid w:val="008315FA"/>
    <w:rsid w:val="00863BD6"/>
    <w:rsid w:val="00863C70"/>
    <w:rsid w:val="00870519"/>
    <w:rsid w:val="00894F75"/>
    <w:rsid w:val="008C4989"/>
    <w:rsid w:val="00963755"/>
    <w:rsid w:val="009814C1"/>
    <w:rsid w:val="009D066B"/>
    <w:rsid w:val="009D790B"/>
    <w:rsid w:val="009E3618"/>
    <w:rsid w:val="00A17BBF"/>
    <w:rsid w:val="00A250CF"/>
    <w:rsid w:val="00A80CE4"/>
    <w:rsid w:val="00B03CAA"/>
    <w:rsid w:val="00B17B03"/>
    <w:rsid w:val="00B477F9"/>
    <w:rsid w:val="00BC4CA3"/>
    <w:rsid w:val="00BF09E3"/>
    <w:rsid w:val="00C1257C"/>
    <w:rsid w:val="00C238BE"/>
    <w:rsid w:val="00CC539D"/>
    <w:rsid w:val="00D9091C"/>
    <w:rsid w:val="00DA2C6E"/>
    <w:rsid w:val="00DB2FCF"/>
    <w:rsid w:val="00DB4B3E"/>
    <w:rsid w:val="00E700E2"/>
    <w:rsid w:val="00E7197E"/>
    <w:rsid w:val="00E7517C"/>
    <w:rsid w:val="00EA0761"/>
    <w:rsid w:val="00EE454E"/>
    <w:rsid w:val="00EE4E66"/>
    <w:rsid w:val="00F009A0"/>
    <w:rsid w:val="00F75966"/>
    <w:rsid w:val="00F95554"/>
    <w:rsid w:val="00FA1103"/>
    <w:rsid w:val="00FE06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2968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03CA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50C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17B0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6B0C"/>
    <w:pPr>
      <w:ind w:left="720"/>
      <w:contextualSpacing/>
    </w:pPr>
  </w:style>
  <w:style w:type="character" w:customStyle="1" w:styleId="Heading1Char">
    <w:name w:val="Heading 1 Char"/>
    <w:basedOn w:val="DefaultParagraphFont"/>
    <w:link w:val="Heading1"/>
    <w:uiPriority w:val="9"/>
    <w:rsid w:val="00B03CA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450C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17B03"/>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F95554"/>
    <w:rPr>
      <w:color w:val="0563C1" w:themeColor="hyperlink"/>
      <w:u w:val="single"/>
    </w:rPr>
  </w:style>
  <w:style w:type="character" w:styleId="Strong">
    <w:name w:val="Strong"/>
    <w:basedOn w:val="DefaultParagraphFont"/>
    <w:uiPriority w:val="22"/>
    <w:qFormat/>
    <w:rsid w:val="00B477F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365033">
      <w:bodyDiv w:val="1"/>
      <w:marLeft w:val="0"/>
      <w:marRight w:val="0"/>
      <w:marTop w:val="0"/>
      <w:marBottom w:val="0"/>
      <w:divBdr>
        <w:top w:val="none" w:sz="0" w:space="0" w:color="auto"/>
        <w:left w:val="none" w:sz="0" w:space="0" w:color="auto"/>
        <w:bottom w:val="none" w:sz="0" w:space="0" w:color="auto"/>
        <w:right w:val="none" w:sz="0" w:space="0" w:color="auto"/>
      </w:divBdr>
    </w:div>
    <w:div w:id="622806081">
      <w:bodyDiv w:val="1"/>
      <w:marLeft w:val="0"/>
      <w:marRight w:val="0"/>
      <w:marTop w:val="0"/>
      <w:marBottom w:val="0"/>
      <w:divBdr>
        <w:top w:val="none" w:sz="0" w:space="0" w:color="auto"/>
        <w:left w:val="none" w:sz="0" w:space="0" w:color="auto"/>
        <w:bottom w:val="none" w:sz="0" w:space="0" w:color="auto"/>
        <w:right w:val="none" w:sz="0" w:space="0" w:color="auto"/>
      </w:divBdr>
    </w:div>
    <w:div w:id="699629559">
      <w:bodyDiv w:val="1"/>
      <w:marLeft w:val="0"/>
      <w:marRight w:val="0"/>
      <w:marTop w:val="0"/>
      <w:marBottom w:val="0"/>
      <w:divBdr>
        <w:top w:val="none" w:sz="0" w:space="0" w:color="auto"/>
        <w:left w:val="none" w:sz="0" w:space="0" w:color="auto"/>
        <w:bottom w:val="none" w:sz="0" w:space="0" w:color="auto"/>
        <w:right w:val="none" w:sz="0" w:space="0" w:color="auto"/>
      </w:divBdr>
    </w:div>
    <w:div w:id="1301767881">
      <w:bodyDiv w:val="1"/>
      <w:marLeft w:val="0"/>
      <w:marRight w:val="0"/>
      <w:marTop w:val="0"/>
      <w:marBottom w:val="0"/>
      <w:divBdr>
        <w:top w:val="none" w:sz="0" w:space="0" w:color="auto"/>
        <w:left w:val="none" w:sz="0" w:space="0" w:color="auto"/>
        <w:bottom w:val="none" w:sz="0" w:space="0" w:color="auto"/>
        <w:right w:val="none" w:sz="0" w:space="0" w:color="auto"/>
      </w:divBdr>
    </w:div>
    <w:div w:id="1335498708">
      <w:bodyDiv w:val="1"/>
      <w:marLeft w:val="0"/>
      <w:marRight w:val="0"/>
      <w:marTop w:val="0"/>
      <w:marBottom w:val="0"/>
      <w:divBdr>
        <w:top w:val="none" w:sz="0" w:space="0" w:color="auto"/>
        <w:left w:val="none" w:sz="0" w:space="0" w:color="auto"/>
        <w:bottom w:val="none" w:sz="0" w:space="0" w:color="auto"/>
        <w:right w:val="none" w:sz="0" w:space="0" w:color="auto"/>
      </w:divBdr>
    </w:div>
    <w:div w:id="2069526473">
      <w:bodyDiv w:val="1"/>
      <w:marLeft w:val="0"/>
      <w:marRight w:val="0"/>
      <w:marTop w:val="0"/>
      <w:marBottom w:val="0"/>
      <w:divBdr>
        <w:top w:val="none" w:sz="0" w:space="0" w:color="auto"/>
        <w:left w:val="none" w:sz="0" w:space="0" w:color="auto"/>
        <w:bottom w:val="none" w:sz="0" w:space="0" w:color="auto"/>
        <w:right w:val="none" w:sz="0" w:space="0" w:color="auto"/>
      </w:divBdr>
    </w:div>
    <w:div w:id="207940200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tiff"/><Relationship Id="rId5" Type="http://schemas.openxmlformats.org/officeDocument/2006/relationships/hyperlink" Target="https://www.kaggle.com/c/house-prices-advanced-regression-techniques/data"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851</Words>
  <Characters>4855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bsw</Company>
  <LinksUpToDate>false</LinksUpToDate>
  <CharactersWithSpaces>5695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Ho</dc:creator>
  <cp:keywords/>
  <dc:description/>
  <cp:lastModifiedBy>Norton, Matthew W.</cp:lastModifiedBy>
  <cp:revision>3</cp:revision>
  <dcterms:created xsi:type="dcterms:W3CDTF">2018-08-09T02:25:00Z</dcterms:created>
  <dcterms:modified xsi:type="dcterms:W3CDTF">2018-08-09T02:25:00Z</dcterms:modified>
</cp:coreProperties>
</file>