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9332" w14:textId="77777777" w:rsidR="00E97402" w:rsidRDefault="00E97402">
      <w:pPr>
        <w:pStyle w:val="Text"/>
        <w:ind w:firstLine="0"/>
        <w:rPr>
          <w:sz w:val="18"/>
          <w:szCs w:val="18"/>
        </w:rPr>
      </w:pPr>
      <w:r>
        <w:rPr>
          <w:sz w:val="18"/>
          <w:szCs w:val="18"/>
        </w:rPr>
        <w:footnoteReference w:customMarkFollows="1" w:id="1"/>
        <w:sym w:font="Symbol" w:char="F020"/>
      </w:r>
    </w:p>
    <w:p w14:paraId="7307D062" w14:textId="4F84730B" w:rsidR="00E97402" w:rsidRDefault="0077746D">
      <w:pPr>
        <w:pStyle w:val="Title"/>
        <w:framePr w:wrap="notBeside"/>
      </w:pPr>
      <w:r>
        <w:t xml:space="preserve">Implementing Blockchain Technology to </w:t>
      </w:r>
      <w:r w:rsidR="000A2DD9">
        <w:t>C</w:t>
      </w:r>
      <w:r>
        <w:t>omply with GDPR Legislation</w:t>
      </w:r>
      <w:r w:rsidR="000A2DD9">
        <w:t>, a Simple Solution</w:t>
      </w:r>
    </w:p>
    <w:p w14:paraId="0DD23D09" w14:textId="7E3C194D" w:rsidR="00E97402" w:rsidRDefault="00F53249">
      <w:pPr>
        <w:pStyle w:val="Authors"/>
        <w:framePr w:wrap="notBeside"/>
      </w:pPr>
      <w:r>
        <w:t>Andy Ho, An Nguyen</w:t>
      </w:r>
      <w:r w:rsidR="009342C5">
        <w:t xml:space="preserve"> and</w:t>
      </w:r>
      <w:bookmarkStart w:id="0" w:name="_GoBack"/>
      <w:bookmarkEnd w:id="0"/>
      <w:r>
        <w:t xml:space="preserve"> Jodi </w:t>
      </w:r>
      <w:proofErr w:type="spellStart"/>
      <w:r>
        <w:t>Pafford</w:t>
      </w:r>
      <w:proofErr w:type="spellEnd"/>
    </w:p>
    <w:p w14:paraId="557C3871" w14:textId="77777777" w:rsidR="00E97402" w:rsidRDefault="00E97402">
      <w:pPr>
        <w:pStyle w:val="Abstract"/>
      </w:pPr>
      <w:r>
        <w:rPr>
          <w:i/>
          <w:iCs/>
        </w:rPr>
        <w:t>Abstract</w:t>
      </w:r>
      <w:r>
        <w:t>—</w:t>
      </w:r>
      <w:r w:rsidR="00F53249" w:rsidRPr="00F53249">
        <w:t xml:space="preserve"> </w:t>
      </w:r>
      <w:r w:rsidR="00F53249">
        <w:t>Blockchain is a highly attractive new technology</w:t>
      </w:r>
      <w:r w:rsidR="007B67A7">
        <w:t>,</w:t>
      </w:r>
      <w:r w:rsidR="00F53249">
        <w:t xml:space="preserve"> due to its security features, in a time where concern for consumer data protection is on the rise. The immutability of blockchain through its decentralized framework is an appealing option for conforming to regulations protecting consumer data privacy such as the European Union’s (EU) General Data Protection Regulation (GDPR) and similar legislation proposed in the United States (US), however companies needing to conform to regulations will likely need to keep costs as low as possible and solutions simple. Although many other proposals have introduced the idea of a blockchain-database hybrid or a mutable blockchain, this paper seeks to implement a third, more simple solution.</w:t>
      </w:r>
    </w:p>
    <w:p w14:paraId="198E2D68" w14:textId="77777777" w:rsidR="00E97402" w:rsidRDefault="00E97402"/>
    <w:p w14:paraId="7E70A6E6" w14:textId="77777777" w:rsidR="00E97402" w:rsidRDefault="00E97402">
      <w:bookmarkStart w:id="1" w:name="PointTmp"/>
    </w:p>
    <w:bookmarkEnd w:id="1"/>
    <w:p w14:paraId="42BFC7A1" w14:textId="77777777" w:rsidR="00E97402" w:rsidRDefault="00E97402">
      <w:pPr>
        <w:pStyle w:val="Heading1"/>
      </w:pPr>
      <w:r>
        <w:t>I</w:t>
      </w:r>
      <w:r>
        <w:rPr>
          <w:sz w:val="16"/>
          <w:szCs w:val="16"/>
        </w:rPr>
        <w:t>NTRODUCTION</w:t>
      </w:r>
    </w:p>
    <w:p w14:paraId="525A51EA" w14:textId="3EE5CA6A" w:rsidR="00F53249" w:rsidRDefault="00F53249" w:rsidP="0077746D">
      <w:pPr>
        <w:ind w:firstLine="202"/>
      </w:pPr>
      <w:r>
        <w:t xml:space="preserve">Blockchain technology has attracted interests from a wide span of industries; mainly due to its ability to operate in a decentralized fashion </w:t>
      </w:r>
      <w:sdt>
        <w:sdtPr>
          <w:id w:val="-244030166"/>
          <w:citation/>
        </w:sdtPr>
        <w:sdtEndPr/>
        <w:sdtContent>
          <w:r>
            <w:fldChar w:fldCharType="begin"/>
          </w:r>
          <w:r>
            <w:instrText xml:space="preserve"> CITATION Chr16 \l 1033 </w:instrText>
          </w:r>
          <w:r>
            <w:fldChar w:fldCharType="separate"/>
          </w:r>
          <w:r w:rsidR="005C142A">
            <w:rPr>
              <w:noProof/>
            </w:rPr>
            <w:t>[1]</w:t>
          </w:r>
          <w:r>
            <w:fldChar w:fldCharType="end"/>
          </w:r>
        </w:sdtContent>
      </w:sdt>
      <w:r>
        <w:t xml:space="preserve">.  A blockchain </w:t>
      </w:r>
      <w:r w:rsidR="00707DA7">
        <w:t>utilizes</w:t>
      </w:r>
      <w:r>
        <w:t xml:space="preserve"> a digital ledger of transactions </w:t>
      </w:r>
      <w:r w:rsidR="00707DA7">
        <w:t>where</w:t>
      </w:r>
      <w:r>
        <w:t xml:space="preserve"> all participants edit</w:t>
      </w:r>
      <w:r w:rsidR="00707DA7">
        <w:t xml:space="preserve"> </w:t>
      </w:r>
      <w:r>
        <w:t xml:space="preserve">in a secure way and is shared over a distributed network of computers </w:t>
      </w:r>
      <w:sdt>
        <w:sdtPr>
          <w:id w:val="1481347585"/>
          <w:citation/>
        </w:sdtPr>
        <w:sdtEndPr/>
        <w:sdtContent>
          <w:r>
            <w:fldChar w:fldCharType="begin"/>
          </w:r>
          <w:r>
            <w:instrText xml:space="preserve">CITATION Sin17 \l 1033 </w:instrText>
          </w:r>
          <w:r>
            <w:fldChar w:fldCharType="separate"/>
          </w:r>
          <w:r w:rsidR="005C142A">
            <w:rPr>
              <w:noProof/>
            </w:rPr>
            <w:t>[2]</w:t>
          </w:r>
          <w:r>
            <w:fldChar w:fldCharType="end"/>
          </w:r>
        </w:sdtContent>
      </w:sdt>
      <w:r>
        <w:t xml:space="preserve">.  The blockchain has an append-only </w:t>
      </w:r>
      <w:r w:rsidR="0077746D">
        <w:t>structure, which helps it</w:t>
      </w:r>
      <w:r>
        <w:t xml:space="preserve"> protect old data against modification or deletion </w:t>
      </w:r>
      <w:sdt>
        <w:sdtPr>
          <w:id w:val="1009728366"/>
          <w:citation/>
        </w:sdtPr>
        <w:sdtEndPr/>
        <w:sdtContent>
          <w:r>
            <w:fldChar w:fldCharType="begin"/>
          </w:r>
          <w:r>
            <w:instrText xml:space="preserve"> CITATION Far19 \l 1033 </w:instrText>
          </w:r>
          <w:r>
            <w:fldChar w:fldCharType="separate"/>
          </w:r>
          <w:r w:rsidR="005C142A">
            <w:rPr>
              <w:noProof/>
            </w:rPr>
            <w:t>[3]</w:t>
          </w:r>
          <w:r>
            <w:fldChar w:fldCharType="end"/>
          </w:r>
        </w:sdtContent>
      </w:sdt>
      <w:r>
        <w:t>.  In order to make changes, all the nodes present in the network must evaluate, verify</w:t>
      </w:r>
      <w:r w:rsidR="00DC1CEC">
        <w:t>,</w:t>
      </w:r>
      <w:r>
        <w:t xml:space="preserve"> and match the transaction information; if the majority of the nodes agree a new block is added to the chain </w:t>
      </w:r>
      <w:sdt>
        <w:sdtPr>
          <w:id w:val="-1868744778"/>
          <w:citation/>
        </w:sdtPr>
        <w:sdtEndPr/>
        <w:sdtContent>
          <w:r>
            <w:fldChar w:fldCharType="begin"/>
          </w:r>
          <w:r>
            <w:instrText xml:space="preserve">CITATION Sin17 \l 1033 </w:instrText>
          </w:r>
          <w:r>
            <w:fldChar w:fldCharType="separate"/>
          </w:r>
          <w:r w:rsidR="005C142A">
            <w:rPr>
              <w:noProof/>
            </w:rPr>
            <w:t>[2]</w:t>
          </w:r>
          <w:r>
            <w:fldChar w:fldCharType="end"/>
          </w:r>
        </w:sdtContent>
      </w:sdt>
      <w:r>
        <w:t>.  Considering</w:t>
      </w:r>
      <w:r w:rsidRPr="00141E68">
        <w:t xml:space="preserve"> several </w:t>
      </w:r>
      <w:r>
        <w:t xml:space="preserve">recent </w:t>
      </w:r>
      <w:r w:rsidRPr="00141E68">
        <w:t>highly publicized data breaches raising public concern</w:t>
      </w:r>
      <w:r>
        <w:t xml:space="preserve">, and in the face of </w:t>
      </w:r>
      <w:r w:rsidRPr="00141E68">
        <w:t xml:space="preserve">looming legislative changes in the </w:t>
      </w:r>
      <w:r>
        <w:t xml:space="preserve">United States </w:t>
      </w:r>
      <w:sdt>
        <w:sdtPr>
          <w:id w:val="-750659221"/>
          <w:citation/>
        </w:sdtPr>
        <w:sdtEndPr/>
        <w:sdtContent>
          <w:r>
            <w:fldChar w:fldCharType="begin"/>
          </w:r>
          <w:r>
            <w:instrText xml:space="preserve"> CITATION Nat191 \l 1033  \m Nat19</w:instrText>
          </w:r>
          <w:r>
            <w:fldChar w:fldCharType="separate"/>
          </w:r>
          <w:r w:rsidR="005C142A">
            <w:rPr>
              <w:noProof/>
            </w:rPr>
            <w:t>[4, 5]</w:t>
          </w:r>
          <w:r>
            <w:fldChar w:fldCharType="end"/>
          </w:r>
        </w:sdtContent>
      </w:sdt>
      <w:r w:rsidRPr="00141E68">
        <w:t xml:space="preserve">, after the implementation of the </w:t>
      </w:r>
      <w:r>
        <w:t xml:space="preserve">General Data Protection Regulation (GDPR) </w:t>
      </w:r>
      <w:sdt>
        <w:sdtPr>
          <w:id w:val="1091353864"/>
          <w:citation/>
        </w:sdtPr>
        <w:sdtEndPr/>
        <w:sdtContent>
          <w:r>
            <w:fldChar w:fldCharType="begin"/>
          </w:r>
          <w:r>
            <w:instrText xml:space="preserve"> CITATION THE16 \l 1033 </w:instrText>
          </w:r>
          <w:r>
            <w:fldChar w:fldCharType="separate"/>
          </w:r>
          <w:r w:rsidR="005C142A">
            <w:rPr>
              <w:noProof/>
            </w:rPr>
            <w:t>[6]</w:t>
          </w:r>
          <w:r>
            <w:fldChar w:fldCharType="end"/>
          </w:r>
        </w:sdtContent>
      </w:sdt>
      <w:r>
        <w:t xml:space="preserve">, this extra-secure framework is an attractive one. </w:t>
      </w:r>
    </w:p>
    <w:p w14:paraId="6E056375" w14:textId="10C23364" w:rsidR="00F53249" w:rsidRDefault="00F53249" w:rsidP="00F53249">
      <w:pPr>
        <w:ind w:firstLine="720"/>
      </w:pPr>
      <w:r>
        <w:t xml:space="preserve">Some possible challenges for companies trying to conform to GDPR-like legislation include the “Right to be forgotten” where citizens are given strict control over their personal data </w:t>
      </w:r>
      <w:sdt>
        <w:sdtPr>
          <w:id w:val="-1488311545"/>
          <w:citation/>
        </w:sdtPr>
        <w:sdtEndPr/>
        <w:sdtContent>
          <w:r>
            <w:fldChar w:fldCharType="begin"/>
          </w:r>
          <w:r>
            <w:instrText xml:space="preserve"> CITATION Coe18 \l 1033 </w:instrText>
          </w:r>
          <w:r>
            <w:fldChar w:fldCharType="separate"/>
          </w:r>
          <w:r w:rsidR="005C142A">
            <w:rPr>
              <w:noProof/>
            </w:rPr>
            <w:t>[7]</w:t>
          </w:r>
          <w:r>
            <w:fldChar w:fldCharType="end"/>
          </w:r>
        </w:sdtContent>
      </w:sdt>
      <w:r>
        <w:t>.  Conforming to a GDPR-like regulation and securing the data are two dynamically opposed paradigms that must be reconciled with each other.</w:t>
      </w:r>
    </w:p>
    <w:p w14:paraId="5FC57D75" w14:textId="12783F07" w:rsidR="00F53249" w:rsidRDefault="0077746D" w:rsidP="00F53249">
      <w:pPr>
        <w:ind w:firstLine="720"/>
      </w:pPr>
      <w:r>
        <w:t>One solution that has been presented includes i</w:t>
      </w:r>
      <w:r w:rsidR="00F53249">
        <w:t xml:space="preserve">mplementing a blockchain-traditional database hybrid where user data is stored on a traditional database and modifications are recorded on the blockchain </w:t>
      </w:r>
      <w:sdt>
        <w:sdtPr>
          <w:id w:val="1086576082"/>
          <w:citation/>
        </w:sdtPr>
        <w:sdtEndPr/>
        <w:sdtContent>
          <w:r w:rsidR="00F53249">
            <w:fldChar w:fldCharType="begin"/>
          </w:r>
          <w:r w:rsidR="00F53249">
            <w:instrText xml:space="preserve"> CITATION Mol18 \l 1033  \m Coe18</w:instrText>
          </w:r>
          <w:r w:rsidR="00F53249">
            <w:fldChar w:fldCharType="separate"/>
          </w:r>
          <w:r w:rsidR="005C142A">
            <w:rPr>
              <w:noProof/>
            </w:rPr>
            <w:t>[8, 7]</w:t>
          </w:r>
          <w:r w:rsidR="00F53249">
            <w:fldChar w:fldCharType="end"/>
          </w:r>
        </w:sdtContent>
      </w:sdt>
      <w:r>
        <w:t xml:space="preserve">. </w:t>
      </w:r>
      <w:r w:rsidR="00F53249">
        <w:t>Alternatively,</w:t>
      </w:r>
      <w:r>
        <w:t xml:space="preserve"> </w:t>
      </w:r>
      <w:r w:rsidR="00F53249">
        <w:t>a</w:t>
      </w:r>
      <w:r>
        <w:t>nother solution is a</w:t>
      </w:r>
      <w:r w:rsidR="00F53249">
        <w:t xml:space="preserve"> blockchain with the ability to</w:t>
      </w:r>
      <w:r w:rsidR="00DC1CEC">
        <w:t xml:space="preserve"> forget has been proposed. T</w:t>
      </w:r>
      <w:r w:rsidR="00F53249">
        <w:t>his proposal uses the pruning features of traditional blockchains like Bitcoin or newer smart-contracts like Ethereum to remove blocks in a traceable way</w:t>
      </w:r>
      <w:sdt>
        <w:sdtPr>
          <w:id w:val="920459376"/>
          <w:citation/>
        </w:sdtPr>
        <w:sdtEndPr/>
        <w:sdtContent>
          <w:r w:rsidR="00F53249">
            <w:fldChar w:fldCharType="begin"/>
          </w:r>
          <w:r w:rsidR="00F53249">
            <w:instrText xml:space="preserve"> CITATION Far19 \l 1033 </w:instrText>
          </w:r>
          <w:r w:rsidR="00F53249">
            <w:fldChar w:fldCharType="separate"/>
          </w:r>
          <w:r w:rsidR="005C142A">
            <w:rPr>
              <w:noProof/>
            </w:rPr>
            <w:t xml:space="preserve"> [3]</w:t>
          </w:r>
          <w:r w:rsidR="00F53249">
            <w:fldChar w:fldCharType="end"/>
          </w:r>
        </w:sdtContent>
      </w:sdt>
      <w:r w:rsidR="00F53249">
        <w:t xml:space="preserve">.  </w:t>
      </w:r>
    </w:p>
    <w:p w14:paraId="366AD862" w14:textId="0A9C4E5F" w:rsidR="00F53249" w:rsidRDefault="00DC1CEC" w:rsidP="00F53249">
      <w:pPr>
        <w:ind w:firstLine="720"/>
      </w:pPr>
      <w:r>
        <w:t xml:space="preserve">In this paper, we </w:t>
      </w:r>
      <w:r w:rsidR="00F53249">
        <w:t xml:space="preserve">will give a brief overview of the blockchain and its background.  </w:t>
      </w:r>
      <w:r>
        <w:t>We will give a</w:t>
      </w:r>
      <w:r w:rsidR="00F53249">
        <w:t xml:space="preserve"> condense summary of the European Union’s GDPR.  </w:t>
      </w:r>
      <w:r>
        <w:t xml:space="preserve">Following this, we will </w:t>
      </w:r>
      <w:r w:rsidR="00F53249">
        <w:t xml:space="preserve">discuss the different methods proposed and their weaknesses.  </w:t>
      </w:r>
      <w:r>
        <w:t>The remainder of this paper will contain our proposal, its implementation and drawback.</w:t>
      </w:r>
    </w:p>
    <w:p w14:paraId="297754AD" w14:textId="61F8333B" w:rsidR="00D252A1" w:rsidRDefault="00D252A1" w:rsidP="00F53249">
      <w:pPr>
        <w:ind w:firstLine="720"/>
      </w:pPr>
    </w:p>
    <w:p w14:paraId="09D25C18" w14:textId="23FD6F55" w:rsidR="00D252A1" w:rsidRDefault="00D252A1" w:rsidP="00D252A1">
      <w:pPr>
        <w:pStyle w:val="Heading1"/>
      </w:pPr>
      <w:r>
        <w:t>Related works</w:t>
      </w:r>
    </w:p>
    <w:p w14:paraId="4CA4D7E2" w14:textId="74A7FFDE" w:rsidR="00D252A1" w:rsidRDefault="00DB3890" w:rsidP="00D252A1">
      <w:pPr>
        <w:ind w:left="202"/>
      </w:pPr>
      <w:r>
        <w:t xml:space="preserve">With the growing interest in blockchains as </w:t>
      </w:r>
      <w:proofErr w:type="gramStart"/>
      <w:r>
        <w:t>a</w:t>
      </w:r>
      <w:proofErr w:type="gramEnd"/>
      <w:r>
        <w:t xml:space="preserve"> information storage system </w:t>
      </w:r>
      <w:r w:rsidR="00E45933">
        <w:t xml:space="preserve">and the growing concern for user data privacy research into designing a blockchain based system that are compliant with privacy laws such as the GDPR have begun.  Here we identify two strategies proposed by researchers to answer the “right to be forgotten” clause of the GDPR.  One proposal by </w:t>
      </w:r>
      <w:proofErr w:type="spellStart"/>
      <w:r w:rsidR="00E45933">
        <w:t>Farshid</w:t>
      </w:r>
      <w:proofErr w:type="spellEnd"/>
      <w:r w:rsidR="00E45933">
        <w:t xml:space="preserve"> et al.  is to use </w:t>
      </w:r>
      <w:r w:rsidR="005C142A">
        <w:t>a pruning algorithm on a smart contract based blockchain, such as Ethereum</w:t>
      </w:r>
      <w:r w:rsidR="00894C9E">
        <w:t>, and will be describe in the following section</w:t>
      </w:r>
      <w:r w:rsidR="005C142A">
        <w:t xml:space="preserve"> </w:t>
      </w:r>
      <w:sdt>
        <w:sdtPr>
          <w:id w:val="-996887053"/>
          <w:citation/>
        </w:sdtPr>
        <w:sdtEndPr/>
        <w:sdtContent>
          <w:r w:rsidR="005C142A">
            <w:fldChar w:fldCharType="begin"/>
          </w:r>
          <w:r w:rsidR="005C142A">
            <w:instrText xml:space="preserve"> CITATION Far19 \l 1033 </w:instrText>
          </w:r>
          <w:r w:rsidR="005C142A">
            <w:fldChar w:fldCharType="separate"/>
          </w:r>
          <w:r w:rsidR="005C142A">
            <w:rPr>
              <w:noProof/>
            </w:rPr>
            <w:t>[3]</w:t>
          </w:r>
          <w:r w:rsidR="005C142A">
            <w:fldChar w:fldCharType="end"/>
          </w:r>
        </w:sdtContent>
      </w:sdt>
      <w:r w:rsidR="005C142A">
        <w:t xml:space="preserve">.  </w:t>
      </w:r>
    </w:p>
    <w:p w14:paraId="3EEB4510" w14:textId="77777777" w:rsidR="00401821" w:rsidRDefault="00877C47" w:rsidP="00D252A1">
      <w:pPr>
        <w:ind w:left="202"/>
      </w:pPr>
      <w:r>
        <w:tab/>
      </w:r>
      <w:r w:rsidR="00894C9E">
        <w:t xml:space="preserve">Smart contract based blockchains have the additional attribute of being able to execute code.  All the nodes and blocks together makeup one instance of a virtual machine.  This machine can store all account balances and active codes.  Once deployed smart contracts only has write-access and cannot be updated or changed.  </w:t>
      </w:r>
      <w:r w:rsidR="00147625">
        <w:t xml:space="preserve">Smart contract based blockchain is attractive because the virtual machine does not require a transaction history to operate but only the current state of the machine.  The researchers made use of the pruning algorithm in two Ethereum implementations to delete as much state data as possible without breaking the functionality of the blockchain.  Furthermore, the researchers deleted all historical blocks and logs leaving only the current state active.  With these changes it was shown that a five host machines were able to form a network and perform basic transactions.  They were able to show that an account can be changed and then the history of </w:t>
      </w:r>
      <w:r w:rsidR="00531BEE">
        <w:t xml:space="preserve">the exchange deleted.  Contracts were able to be created and then the creation transaction be deleted.  </w:t>
      </w:r>
      <w:r w:rsidR="00B37FA0">
        <w:t>Figure 1 is a before and after screenshot of an account balance and creation of a smart contract with their transaction history deleted.</w:t>
      </w:r>
      <w:r w:rsidR="005A66BB">
        <w:t xml:space="preserve">  </w:t>
      </w:r>
    </w:p>
    <w:p w14:paraId="4AA64E5A" w14:textId="5663560B" w:rsidR="00877C47" w:rsidRDefault="00401821" w:rsidP="00D252A1">
      <w:pPr>
        <w:ind w:left="202"/>
      </w:pPr>
      <w:r>
        <w:tab/>
      </w:r>
      <w:r w:rsidR="00B37FA0">
        <w:t xml:space="preserve"> </w:t>
      </w:r>
    </w:p>
    <w:p w14:paraId="3AC68396" w14:textId="77777777" w:rsidR="00401821" w:rsidRPr="00D252A1" w:rsidRDefault="00401821" w:rsidP="00D252A1">
      <w:pPr>
        <w:ind w:left="202"/>
      </w:pPr>
    </w:p>
    <w:p w14:paraId="05F84CAD" w14:textId="50BB7F6B" w:rsidR="00804972" w:rsidRDefault="00804972" w:rsidP="00804972">
      <w:pPr>
        <w:pStyle w:val="Text"/>
        <w:keepNext/>
        <w:ind w:firstLine="0"/>
      </w:pPr>
      <w:r>
        <w:rPr>
          <w:noProof/>
        </w:rPr>
        <w:lastRenderedPageBreak/>
        <w:drawing>
          <wp:inline distT="0" distB="0" distL="0" distR="0" wp14:anchorId="46C1E810" wp14:editId="362BFDFC">
            <wp:extent cx="3197225" cy="180276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7225" cy="1802765"/>
                    </a:xfrm>
                    <a:prstGeom prst="rect">
                      <a:avLst/>
                    </a:prstGeom>
                    <a:noFill/>
                    <a:ln>
                      <a:noFill/>
                    </a:ln>
                  </pic:spPr>
                </pic:pic>
              </a:graphicData>
            </a:graphic>
          </wp:inline>
        </w:drawing>
      </w:r>
    </w:p>
    <w:p w14:paraId="3BFBEA23" w14:textId="03B7282E" w:rsidR="005D72BB" w:rsidRDefault="00804972" w:rsidP="00804972">
      <w:pPr>
        <w:pStyle w:val="Caption"/>
        <w:jc w:val="both"/>
      </w:pPr>
      <w:r>
        <w:t xml:space="preserve">Figure </w:t>
      </w:r>
      <w:fldSimple w:instr=" SEQ Figure \* ARABIC ">
        <w:r>
          <w:rPr>
            <w:noProof/>
          </w:rPr>
          <w:t>1</w:t>
        </w:r>
      </w:fldSimple>
      <w:r>
        <w:t>. A and B, account with balance and deleted transactions. C and D, creation of contract and deleted transactions.</w:t>
      </w:r>
    </w:p>
    <w:p w14:paraId="270521F2" w14:textId="79F4341B" w:rsidR="00B37FA0" w:rsidRDefault="00401821" w:rsidP="00401821">
      <w:pPr>
        <w:ind w:firstLine="202"/>
      </w:pPr>
      <w:r>
        <w:t xml:space="preserve">There are several limitations to this approach pointed out by the authors.  </w:t>
      </w:r>
      <w:r w:rsidR="0007587E">
        <w:t>One</w:t>
      </w:r>
      <w:r>
        <w:t xml:space="preserve">, no new nodes </w:t>
      </w:r>
      <w:r w:rsidR="0007587E">
        <w:t>can</w:t>
      </w:r>
      <w:r>
        <w:t xml:space="preserve"> be added to the network</w:t>
      </w:r>
      <w:r w:rsidR="0007587E">
        <w:t>.  This is because the information needed to derive the current state of the virtual machine no longer exist.  Two, there is no way to prevent individuals from creating backups of old data before it gets deleted.</w:t>
      </w:r>
    </w:p>
    <w:p w14:paraId="287FEBD1" w14:textId="77777777" w:rsidR="0007587E" w:rsidRPr="00B37FA0" w:rsidRDefault="0007587E" w:rsidP="00401821">
      <w:pPr>
        <w:ind w:firstLine="202"/>
      </w:pPr>
    </w:p>
    <w:p w14:paraId="4A5225F1" w14:textId="77777777" w:rsidR="00E97402" w:rsidRDefault="00E97402">
      <w:pPr>
        <w:pStyle w:val="ReferenceHead"/>
      </w:pPr>
      <w: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778"/>
      </w:tblGrid>
      <w:tr w:rsidR="00F53249" w14:paraId="6EE04F31" w14:textId="77777777" w:rsidTr="00F53249">
        <w:trPr>
          <w:tblCellSpacing w:w="15" w:type="dxa"/>
        </w:trPr>
        <w:tc>
          <w:tcPr>
            <w:tcW w:w="212" w:type="pct"/>
            <w:hideMark/>
          </w:tcPr>
          <w:p w14:paraId="4C86779A"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[1] </w:t>
            </w:r>
          </w:p>
        </w:tc>
        <w:tc>
          <w:tcPr>
            <w:tcW w:w="0" w:type="auto"/>
            <w:hideMark/>
          </w:tcPr>
          <w:p w14:paraId="5DA71BBF"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K. Christidis and M. Devetsikiotis, "Blockchains and Smart Contracts for the Internet of Things," </w:t>
            </w:r>
            <w:r w:rsidRPr="00F53249">
              <w:rPr>
                <w:rFonts w:ascii="Times New Roman" w:hAnsi="Times New Roman" w:cs="Times New Roman"/>
                <w:i/>
                <w:iCs/>
                <w:noProof/>
                <w:sz w:val="16"/>
                <w:szCs w:val="16"/>
              </w:rPr>
              <w:t xml:space="preserve">IEEE Access, </w:t>
            </w:r>
            <w:r w:rsidRPr="00F53249">
              <w:rPr>
                <w:rFonts w:ascii="Times New Roman" w:hAnsi="Times New Roman" w:cs="Times New Roman"/>
                <w:noProof/>
                <w:sz w:val="16"/>
                <w:szCs w:val="16"/>
              </w:rPr>
              <w:t xml:space="preserve">vol. 4, pp. 2292 - 2303, 2016. </w:t>
            </w:r>
          </w:p>
        </w:tc>
      </w:tr>
      <w:tr w:rsidR="00F53249" w14:paraId="2B85F776" w14:textId="77777777" w:rsidTr="00F53249">
        <w:trPr>
          <w:tblCellSpacing w:w="15" w:type="dxa"/>
        </w:trPr>
        <w:tc>
          <w:tcPr>
            <w:tcW w:w="212" w:type="pct"/>
            <w:hideMark/>
          </w:tcPr>
          <w:p w14:paraId="2E4AFEB7"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[2] </w:t>
            </w:r>
          </w:p>
        </w:tc>
        <w:tc>
          <w:tcPr>
            <w:tcW w:w="0" w:type="auto"/>
            <w:hideMark/>
          </w:tcPr>
          <w:p w14:paraId="0E1A8C53"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S. Singh and N. Singh, "Blockchain: Future of Financial and Cyber Security," in </w:t>
            </w:r>
            <w:r w:rsidRPr="00F53249">
              <w:rPr>
                <w:rFonts w:ascii="Times New Roman" w:hAnsi="Times New Roman" w:cs="Times New Roman"/>
                <w:i/>
                <w:iCs/>
                <w:noProof/>
                <w:sz w:val="16"/>
                <w:szCs w:val="16"/>
              </w:rPr>
              <w:t>2016 2nd International Conference on Contemporary Computing and Informatics (IC3I)</w:t>
            </w:r>
            <w:r w:rsidRPr="00F53249">
              <w:rPr>
                <w:rFonts w:ascii="Times New Roman" w:hAnsi="Times New Roman" w:cs="Times New Roman"/>
                <w:noProof/>
                <w:sz w:val="16"/>
                <w:szCs w:val="16"/>
              </w:rPr>
              <w:t xml:space="preserve">, Noida, India, 2017. </w:t>
            </w:r>
          </w:p>
        </w:tc>
      </w:tr>
      <w:tr w:rsidR="00F53249" w14:paraId="35B5DBA5" w14:textId="77777777" w:rsidTr="00F53249">
        <w:trPr>
          <w:tblCellSpacing w:w="15" w:type="dxa"/>
        </w:trPr>
        <w:tc>
          <w:tcPr>
            <w:tcW w:w="212" w:type="pct"/>
            <w:hideMark/>
          </w:tcPr>
          <w:p w14:paraId="4D734342"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[3] </w:t>
            </w:r>
          </w:p>
        </w:tc>
        <w:tc>
          <w:tcPr>
            <w:tcW w:w="0" w:type="auto"/>
            <w:hideMark/>
          </w:tcPr>
          <w:p w14:paraId="59E80933"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S. Farshid, A. Reitz and P. Roßbach, "Design of a Forgetting Blockchain: A Possible Way to Accomplish GDPR Compatibility," </w:t>
            </w:r>
            <w:r w:rsidRPr="00F53249">
              <w:rPr>
                <w:rFonts w:ascii="Times New Roman" w:hAnsi="Times New Roman" w:cs="Times New Roman"/>
                <w:i/>
                <w:iCs/>
                <w:noProof/>
                <w:sz w:val="16"/>
                <w:szCs w:val="16"/>
              </w:rPr>
              <w:t xml:space="preserve">Hawaii International Conference on System Sciences |, </w:t>
            </w:r>
            <w:r w:rsidRPr="00F53249">
              <w:rPr>
                <w:rFonts w:ascii="Times New Roman" w:hAnsi="Times New Roman" w:cs="Times New Roman"/>
                <w:noProof/>
                <w:sz w:val="16"/>
                <w:szCs w:val="16"/>
              </w:rPr>
              <w:t xml:space="preserve">pp. 7087-7095, 2019. </w:t>
            </w:r>
          </w:p>
        </w:tc>
      </w:tr>
      <w:tr w:rsidR="00F53249" w14:paraId="7E6AFE21" w14:textId="77777777" w:rsidTr="00F53249">
        <w:trPr>
          <w:tblCellSpacing w:w="15" w:type="dxa"/>
        </w:trPr>
        <w:tc>
          <w:tcPr>
            <w:tcW w:w="212" w:type="pct"/>
            <w:hideMark/>
          </w:tcPr>
          <w:p w14:paraId="1CB814EC"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[4] </w:t>
            </w:r>
          </w:p>
        </w:tc>
        <w:tc>
          <w:tcPr>
            <w:tcW w:w="0" w:type="auto"/>
            <w:hideMark/>
          </w:tcPr>
          <w:p w14:paraId="5D075C40"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National Conference of State Legislatures, "Data Disposal Laws," National Conference of State Legislatures, 04 January 2019. [Online]. Available: http://www.ncsl.org/research/telecommunications-and-information-technology/security-breach-notification-laws.aspx. [Accessed 1 January 2019].</w:t>
            </w:r>
          </w:p>
        </w:tc>
      </w:tr>
      <w:tr w:rsidR="00F53249" w14:paraId="476B8E57" w14:textId="77777777" w:rsidTr="00F53249">
        <w:trPr>
          <w:tblCellSpacing w:w="15" w:type="dxa"/>
        </w:trPr>
        <w:tc>
          <w:tcPr>
            <w:tcW w:w="212" w:type="pct"/>
            <w:hideMark/>
          </w:tcPr>
          <w:p w14:paraId="69A433FE"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[5] </w:t>
            </w:r>
          </w:p>
        </w:tc>
        <w:tc>
          <w:tcPr>
            <w:tcW w:w="0" w:type="auto"/>
            <w:hideMark/>
          </w:tcPr>
          <w:p w14:paraId="5B6B88CA"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National Conference of State Legislatures, "Security Breach Notification Laws," National Conference of State Legislatures, 29 September 2018. [Online]. Available: http://www.ncsl.org/research/telecommunications-and-information-technology/data-disposal-laws.aspx. [Accessed 31 January 2019].</w:t>
            </w:r>
          </w:p>
        </w:tc>
      </w:tr>
      <w:tr w:rsidR="00F53249" w14:paraId="16382AFB" w14:textId="77777777" w:rsidTr="00F53249">
        <w:trPr>
          <w:tblCellSpacing w:w="15" w:type="dxa"/>
        </w:trPr>
        <w:tc>
          <w:tcPr>
            <w:tcW w:w="212" w:type="pct"/>
            <w:hideMark/>
          </w:tcPr>
          <w:p w14:paraId="04407B19"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[6] </w:t>
            </w:r>
          </w:p>
        </w:tc>
        <w:tc>
          <w:tcPr>
            <w:tcW w:w="0" w:type="auto"/>
            <w:hideMark/>
          </w:tcPr>
          <w:p w14:paraId="38BF193E"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THE EUROPEAN PARLIAMENT AND THE COUNCIL OF THE EUROPEAN UNION, </w:t>
            </w:r>
            <w:r w:rsidRPr="00F53249">
              <w:rPr>
                <w:rFonts w:ascii="Times New Roman" w:hAnsi="Times New Roman" w:cs="Times New Roman"/>
                <w:i/>
                <w:iCs/>
                <w:noProof/>
                <w:sz w:val="16"/>
                <w:szCs w:val="16"/>
              </w:rPr>
              <w:t xml:space="preserve">REGULATION (EU) 2016/679 OF THE EUROPEAN PARLIAMENT AND OF THE COUNCIL of 27 April 2016 on the protection of natural persons with regard to the processing of personal data and on the free movement of such data, and repealing Directive 95/46/EC (GDPR), </w:t>
            </w:r>
            <w:r w:rsidRPr="00F53249">
              <w:rPr>
                <w:rFonts w:ascii="Times New Roman" w:hAnsi="Times New Roman" w:cs="Times New Roman"/>
                <w:noProof/>
                <w:sz w:val="16"/>
                <w:szCs w:val="16"/>
              </w:rPr>
              <w:t xml:space="preserve">L 119 ed., 2016. </w:t>
            </w:r>
          </w:p>
        </w:tc>
      </w:tr>
      <w:tr w:rsidR="00F53249" w14:paraId="5C81DB7C" w14:textId="77777777" w:rsidTr="00F53249">
        <w:trPr>
          <w:tblCellSpacing w:w="15" w:type="dxa"/>
        </w:trPr>
        <w:tc>
          <w:tcPr>
            <w:tcW w:w="212" w:type="pct"/>
            <w:hideMark/>
          </w:tcPr>
          <w:p w14:paraId="03D58F4B"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[7] </w:t>
            </w:r>
          </w:p>
        </w:tc>
        <w:tc>
          <w:tcPr>
            <w:tcW w:w="0" w:type="auto"/>
            <w:hideMark/>
          </w:tcPr>
          <w:p w14:paraId="32E6D4E3"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F. Coelho and G. Younes, "The GDPR-Blockchain Paradox: A Work Around," in </w:t>
            </w:r>
            <w:r w:rsidRPr="00F53249">
              <w:rPr>
                <w:rFonts w:ascii="Times New Roman" w:hAnsi="Times New Roman" w:cs="Times New Roman"/>
                <w:i/>
                <w:iCs/>
                <w:noProof/>
                <w:sz w:val="16"/>
                <w:szCs w:val="16"/>
              </w:rPr>
              <w:t>Workshop on GDPR Compliant Systems</w:t>
            </w:r>
            <w:r w:rsidRPr="00F53249">
              <w:rPr>
                <w:rFonts w:ascii="Times New Roman" w:hAnsi="Times New Roman" w:cs="Times New Roman"/>
                <w:noProof/>
                <w:sz w:val="16"/>
                <w:szCs w:val="16"/>
              </w:rPr>
              <w:t xml:space="preserve">, Rennes, France, 2018. </w:t>
            </w:r>
          </w:p>
        </w:tc>
      </w:tr>
      <w:tr w:rsidR="00F53249" w14:paraId="1FAD14D3" w14:textId="77777777" w:rsidTr="00F53249">
        <w:trPr>
          <w:tblCellSpacing w:w="15" w:type="dxa"/>
        </w:trPr>
        <w:tc>
          <w:tcPr>
            <w:tcW w:w="212" w:type="pct"/>
            <w:hideMark/>
          </w:tcPr>
          <w:p w14:paraId="7CCE07C6"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[8] </w:t>
            </w:r>
          </w:p>
        </w:tc>
        <w:tc>
          <w:tcPr>
            <w:tcW w:w="0" w:type="auto"/>
            <w:hideMark/>
          </w:tcPr>
          <w:p w14:paraId="070D2E12" w14:textId="77777777" w:rsidR="00F53249" w:rsidRPr="00F53249" w:rsidRDefault="00F53249" w:rsidP="00391F66">
            <w:pPr>
              <w:pStyle w:val="Bibliography"/>
              <w:rPr>
                <w:rFonts w:ascii="Times New Roman" w:hAnsi="Times New Roman" w:cs="Times New Roman"/>
                <w:noProof/>
                <w:sz w:val="16"/>
                <w:szCs w:val="16"/>
              </w:rPr>
            </w:pPr>
            <w:r w:rsidRPr="00F53249">
              <w:rPr>
                <w:rFonts w:ascii="Times New Roman" w:hAnsi="Times New Roman" w:cs="Times New Roman"/>
                <w:noProof/>
                <w:sz w:val="16"/>
                <w:szCs w:val="16"/>
              </w:rPr>
              <w:t xml:space="preserve">C. Molina-Jiménez, I. Sfyrakis, E. Solaiman, I. C. L. Ng, W. Meng, Wong, A. Chun and J. Crowcroft, "Implementation of Smart Contracts Using Hybrid Architectures with On-and Off-Blockchain Components," </w:t>
            </w:r>
            <w:r w:rsidRPr="00F53249">
              <w:rPr>
                <w:rFonts w:ascii="Times New Roman" w:hAnsi="Times New Roman" w:cs="Times New Roman"/>
                <w:i/>
                <w:iCs/>
                <w:noProof/>
                <w:sz w:val="16"/>
                <w:szCs w:val="16"/>
              </w:rPr>
              <w:t xml:space="preserve">ResearchGate, </w:t>
            </w:r>
            <w:r w:rsidRPr="00F53249">
              <w:rPr>
                <w:rFonts w:ascii="Times New Roman" w:hAnsi="Times New Roman" w:cs="Times New Roman"/>
                <w:noProof/>
                <w:sz w:val="16"/>
                <w:szCs w:val="16"/>
              </w:rPr>
              <w:t xml:space="preserve">pp. 1-12, 2018. </w:t>
            </w:r>
          </w:p>
        </w:tc>
      </w:tr>
    </w:tbl>
    <w:p w14:paraId="4E04A38A" w14:textId="77777777" w:rsidR="0037551B" w:rsidRPr="00CD684F" w:rsidRDefault="0037551B" w:rsidP="009F40FB">
      <w:pPr>
        <w:pStyle w:val="FigureCaption"/>
        <w:rPr>
          <w:sz w:val="20"/>
          <w:szCs w:val="20"/>
        </w:rPr>
      </w:pPr>
    </w:p>
    <w:sectPr w:rsidR="0037551B" w:rsidRPr="00CD684F" w:rsidSect="00143F2E">
      <w:headerReference w:type="default" r:id="rId9"/>
      <w:foot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7632C" w14:textId="77777777" w:rsidR="00540B49" w:rsidRDefault="00540B49">
      <w:r>
        <w:separator/>
      </w:r>
    </w:p>
  </w:endnote>
  <w:endnote w:type="continuationSeparator" w:id="0">
    <w:p w14:paraId="5A61A140" w14:textId="77777777" w:rsidR="00540B49" w:rsidRDefault="0054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DF644"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22B36" w14:textId="77777777" w:rsidR="00540B49" w:rsidRDefault="00540B49"/>
  </w:footnote>
  <w:footnote w:type="continuationSeparator" w:id="0">
    <w:p w14:paraId="7550F4B9" w14:textId="77777777" w:rsidR="00540B49" w:rsidRDefault="00540B49">
      <w:r>
        <w:continuationSeparator/>
      </w:r>
    </w:p>
  </w:footnote>
  <w:footnote w:id="1">
    <w:p w14:paraId="2C616B69" w14:textId="79AB9893" w:rsidR="00DE07FA" w:rsidRDefault="00DC1CEC">
      <w:pPr>
        <w:pStyle w:val="FootnoteText"/>
      </w:pPr>
      <w:r>
        <w:t>MSDS 7</w:t>
      </w:r>
      <w:r w:rsidR="0077746D">
        <w:t>3</w:t>
      </w:r>
      <w:r>
        <w:t>49 – Network and Data Security</w:t>
      </w:r>
      <w:r w:rsidR="000717B3">
        <w:t xml:space="preserve"> – Spring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0019" w14:textId="77777777" w:rsidR="00DE07FA" w:rsidRDefault="00214824">
    <w:pPr>
      <w:framePr w:wrap="auto" w:vAnchor="text" w:hAnchor="margin" w:xAlign="right" w:y="1"/>
    </w:pPr>
    <w:r>
      <w:fldChar w:fldCharType="begin"/>
    </w:r>
    <w:r w:rsidR="00DE07FA">
      <w:instrText xml:space="preserve">PAGE  </w:instrText>
    </w:r>
    <w:r>
      <w:fldChar w:fldCharType="separate"/>
    </w:r>
    <w:r w:rsidR="00C410CC">
      <w:rPr>
        <w:noProof/>
      </w:rPr>
      <w:t>1</w:t>
    </w:r>
    <w:r>
      <w:fldChar w:fldCharType="end"/>
    </w:r>
  </w:p>
  <w:p w14:paraId="429AC51C" w14:textId="77777777" w:rsidR="00DE07FA" w:rsidRDefault="00DE07FA">
    <w:pPr>
      <w:ind w:right="360"/>
    </w:pPr>
    <w:r>
      <w:t>&gt; REPLACE THIS LINE WITH YOUR PAPER IDENTIFICATION NUMBER (DOUBLE-CLICK HERE TO EDIT) &lt;</w:t>
    </w:r>
  </w:p>
  <w:p w14:paraId="4688A328"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CE17AB6"/>
    <w:multiLevelType w:val="hybridMultilevel"/>
    <w:tmpl w:val="E9480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jM2sjQ2tzQzMzZW0lEKTi0uzszPAykwqgUAJgqFPCwAAAA="/>
  </w:docVars>
  <w:rsids>
    <w:rsidRoot w:val="0091035B"/>
    <w:rsid w:val="00042E13"/>
    <w:rsid w:val="000717B3"/>
    <w:rsid w:val="0007587E"/>
    <w:rsid w:val="000913EB"/>
    <w:rsid w:val="000A168B"/>
    <w:rsid w:val="000A2DD9"/>
    <w:rsid w:val="000D2BDE"/>
    <w:rsid w:val="00104BB0"/>
    <w:rsid w:val="0010794E"/>
    <w:rsid w:val="0013354F"/>
    <w:rsid w:val="00143F2E"/>
    <w:rsid w:val="00144E72"/>
    <w:rsid w:val="00147625"/>
    <w:rsid w:val="001768FF"/>
    <w:rsid w:val="001A60B1"/>
    <w:rsid w:val="001B36B1"/>
    <w:rsid w:val="001E7B7A"/>
    <w:rsid w:val="001F4C5C"/>
    <w:rsid w:val="00201503"/>
    <w:rsid w:val="00204478"/>
    <w:rsid w:val="00214824"/>
    <w:rsid w:val="00214E2E"/>
    <w:rsid w:val="00216141"/>
    <w:rsid w:val="00217186"/>
    <w:rsid w:val="002434A1"/>
    <w:rsid w:val="00263943"/>
    <w:rsid w:val="00267B35"/>
    <w:rsid w:val="002F7910"/>
    <w:rsid w:val="0033447E"/>
    <w:rsid w:val="003427CE"/>
    <w:rsid w:val="00360269"/>
    <w:rsid w:val="0037551B"/>
    <w:rsid w:val="00392DBA"/>
    <w:rsid w:val="003C3322"/>
    <w:rsid w:val="003C68C2"/>
    <w:rsid w:val="003D4CAE"/>
    <w:rsid w:val="003F26BD"/>
    <w:rsid w:val="003F52AD"/>
    <w:rsid w:val="00401821"/>
    <w:rsid w:val="0043144F"/>
    <w:rsid w:val="00431BFA"/>
    <w:rsid w:val="004353CF"/>
    <w:rsid w:val="00456A2B"/>
    <w:rsid w:val="004631BC"/>
    <w:rsid w:val="00484761"/>
    <w:rsid w:val="00484DD5"/>
    <w:rsid w:val="004C1E16"/>
    <w:rsid w:val="004C2543"/>
    <w:rsid w:val="004D15CA"/>
    <w:rsid w:val="004E3E4C"/>
    <w:rsid w:val="004F23A0"/>
    <w:rsid w:val="005003E3"/>
    <w:rsid w:val="005052CD"/>
    <w:rsid w:val="00531BEE"/>
    <w:rsid w:val="00540B49"/>
    <w:rsid w:val="00550A26"/>
    <w:rsid w:val="00550BF5"/>
    <w:rsid w:val="00567A70"/>
    <w:rsid w:val="005A2A15"/>
    <w:rsid w:val="005A66BB"/>
    <w:rsid w:val="005C142A"/>
    <w:rsid w:val="005D1B15"/>
    <w:rsid w:val="005D2824"/>
    <w:rsid w:val="005D4F1A"/>
    <w:rsid w:val="005D72BB"/>
    <w:rsid w:val="005E692F"/>
    <w:rsid w:val="0062114B"/>
    <w:rsid w:val="00623698"/>
    <w:rsid w:val="00625E96"/>
    <w:rsid w:val="00647C09"/>
    <w:rsid w:val="00651F2C"/>
    <w:rsid w:val="00693D5D"/>
    <w:rsid w:val="006B7F03"/>
    <w:rsid w:val="00707DA7"/>
    <w:rsid w:val="007121D2"/>
    <w:rsid w:val="00725B45"/>
    <w:rsid w:val="0077746D"/>
    <w:rsid w:val="007B67A7"/>
    <w:rsid w:val="007C4336"/>
    <w:rsid w:val="007F7AA6"/>
    <w:rsid w:val="00804972"/>
    <w:rsid w:val="00823624"/>
    <w:rsid w:val="00837E47"/>
    <w:rsid w:val="008518FE"/>
    <w:rsid w:val="0085659C"/>
    <w:rsid w:val="00872026"/>
    <w:rsid w:val="00875FA6"/>
    <w:rsid w:val="0087792E"/>
    <w:rsid w:val="00877C47"/>
    <w:rsid w:val="00883EAF"/>
    <w:rsid w:val="00885258"/>
    <w:rsid w:val="00894C9E"/>
    <w:rsid w:val="008A30C3"/>
    <w:rsid w:val="008A3C23"/>
    <w:rsid w:val="008C49CC"/>
    <w:rsid w:val="008D69E9"/>
    <w:rsid w:val="008E0645"/>
    <w:rsid w:val="008F594A"/>
    <w:rsid w:val="00904C7E"/>
    <w:rsid w:val="0091035B"/>
    <w:rsid w:val="009342C5"/>
    <w:rsid w:val="009A1F6E"/>
    <w:rsid w:val="009C7D17"/>
    <w:rsid w:val="009E484E"/>
    <w:rsid w:val="009F40FB"/>
    <w:rsid w:val="00A22FCB"/>
    <w:rsid w:val="00A472F1"/>
    <w:rsid w:val="00A5237D"/>
    <w:rsid w:val="00A554A3"/>
    <w:rsid w:val="00A758EA"/>
    <w:rsid w:val="00A95C50"/>
    <w:rsid w:val="00AB79A6"/>
    <w:rsid w:val="00AC4850"/>
    <w:rsid w:val="00B37FA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410CC"/>
    <w:rsid w:val="00C621D6"/>
    <w:rsid w:val="00C82D86"/>
    <w:rsid w:val="00CB4B8D"/>
    <w:rsid w:val="00CC0DDA"/>
    <w:rsid w:val="00CD684F"/>
    <w:rsid w:val="00D06623"/>
    <w:rsid w:val="00D14C6B"/>
    <w:rsid w:val="00D252A1"/>
    <w:rsid w:val="00D5536F"/>
    <w:rsid w:val="00D56935"/>
    <w:rsid w:val="00D758C6"/>
    <w:rsid w:val="00D90C10"/>
    <w:rsid w:val="00D92E96"/>
    <w:rsid w:val="00DA258C"/>
    <w:rsid w:val="00DB3890"/>
    <w:rsid w:val="00DC1CEC"/>
    <w:rsid w:val="00DE07FA"/>
    <w:rsid w:val="00DF2DDE"/>
    <w:rsid w:val="00E01667"/>
    <w:rsid w:val="00E36209"/>
    <w:rsid w:val="00E420BB"/>
    <w:rsid w:val="00E45933"/>
    <w:rsid w:val="00E50DF6"/>
    <w:rsid w:val="00E965C5"/>
    <w:rsid w:val="00E96A3A"/>
    <w:rsid w:val="00E97402"/>
    <w:rsid w:val="00E97B99"/>
    <w:rsid w:val="00EB2E9D"/>
    <w:rsid w:val="00EE6FFC"/>
    <w:rsid w:val="00EF10AC"/>
    <w:rsid w:val="00EF4701"/>
    <w:rsid w:val="00EF564E"/>
    <w:rsid w:val="00F22198"/>
    <w:rsid w:val="00F33D49"/>
    <w:rsid w:val="00F3481E"/>
    <w:rsid w:val="00F506E0"/>
    <w:rsid w:val="00F53249"/>
    <w:rsid w:val="00F577F6"/>
    <w:rsid w:val="00F65266"/>
    <w:rsid w:val="00F751E1"/>
    <w:rsid w:val="00FD1672"/>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EED04"/>
  <w15:docId w15:val="{639A0C23-49AC-4CD7-A090-4296B73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F53249"/>
    <w:rPr>
      <w:rFonts w:asciiTheme="minorHAnsi" w:eastAsiaTheme="minorHAnsi" w:hAnsiTheme="minorHAnsi" w:cstheme="minorBidi"/>
      <w:sz w:val="22"/>
      <w:szCs w:val="22"/>
    </w:rPr>
  </w:style>
  <w:style w:type="paragraph" w:styleId="ListParagraph">
    <w:name w:val="List Paragraph"/>
    <w:basedOn w:val="Normal"/>
    <w:uiPriority w:val="34"/>
    <w:qFormat/>
    <w:rsid w:val="00D252A1"/>
    <w:pPr>
      <w:ind w:left="720"/>
      <w:contextualSpacing/>
    </w:pPr>
  </w:style>
  <w:style w:type="paragraph" w:styleId="Caption">
    <w:name w:val="caption"/>
    <w:basedOn w:val="Normal"/>
    <w:next w:val="Normal"/>
    <w:unhideWhenUsed/>
    <w:qFormat/>
    <w:rsid w:val="0080497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4800">
      <w:bodyDiv w:val="1"/>
      <w:marLeft w:val="0"/>
      <w:marRight w:val="0"/>
      <w:marTop w:val="0"/>
      <w:marBottom w:val="0"/>
      <w:divBdr>
        <w:top w:val="none" w:sz="0" w:space="0" w:color="auto"/>
        <w:left w:val="none" w:sz="0" w:space="0" w:color="auto"/>
        <w:bottom w:val="none" w:sz="0" w:space="0" w:color="auto"/>
        <w:right w:val="none" w:sz="0" w:space="0" w:color="auto"/>
      </w:divBdr>
    </w:div>
    <w:div w:id="332419077">
      <w:bodyDiv w:val="1"/>
      <w:marLeft w:val="0"/>
      <w:marRight w:val="0"/>
      <w:marTop w:val="0"/>
      <w:marBottom w:val="0"/>
      <w:divBdr>
        <w:top w:val="none" w:sz="0" w:space="0" w:color="auto"/>
        <w:left w:val="none" w:sz="0" w:space="0" w:color="auto"/>
        <w:bottom w:val="none" w:sz="0" w:space="0" w:color="auto"/>
        <w:right w:val="none" w:sz="0" w:space="0" w:color="auto"/>
      </w:divBdr>
    </w:div>
    <w:div w:id="507064582">
      <w:bodyDiv w:val="1"/>
      <w:marLeft w:val="0"/>
      <w:marRight w:val="0"/>
      <w:marTop w:val="0"/>
      <w:marBottom w:val="0"/>
      <w:divBdr>
        <w:top w:val="none" w:sz="0" w:space="0" w:color="auto"/>
        <w:left w:val="none" w:sz="0" w:space="0" w:color="auto"/>
        <w:bottom w:val="none" w:sz="0" w:space="0" w:color="auto"/>
        <w:right w:val="none" w:sz="0" w:space="0" w:color="auto"/>
      </w:divBdr>
    </w:div>
    <w:div w:id="516584528">
      <w:bodyDiv w:val="1"/>
      <w:marLeft w:val="0"/>
      <w:marRight w:val="0"/>
      <w:marTop w:val="0"/>
      <w:marBottom w:val="0"/>
      <w:divBdr>
        <w:top w:val="none" w:sz="0" w:space="0" w:color="auto"/>
        <w:left w:val="none" w:sz="0" w:space="0" w:color="auto"/>
        <w:bottom w:val="none" w:sz="0" w:space="0" w:color="auto"/>
        <w:right w:val="none" w:sz="0" w:space="0" w:color="auto"/>
      </w:divBdr>
    </w:div>
    <w:div w:id="569927768">
      <w:bodyDiv w:val="1"/>
      <w:marLeft w:val="0"/>
      <w:marRight w:val="0"/>
      <w:marTop w:val="0"/>
      <w:marBottom w:val="0"/>
      <w:divBdr>
        <w:top w:val="none" w:sz="0" w:space="0" w:color="auto"/>
        <w:left w:val="none" w:sz="0" w:space="0" w:color="auto"/>
        <w:bottom w:val="none" w:sz="0" w:space="0" w:color="auto"/>
        <w:right w:val="none" w:sz="0" w:space="0" w:color="auto"/>
      </w:divBdr>
    </w:div>
    <w:div w:id="897395940">
      <w:bodyDiv w:val="1"/>
      <w:marLeft w:val="0"/>
      <w:marRight w:val="0"/>
      <w:marTop w:val="0"/>
      <w:marBottom w:val="0"/>
      <w:divBdr>
        <w:top w:val="none" w:sz="0" w:space="0" w:color="auto"/>
        <w:left w:val="none" w:sz="0" w:space="0" w:color="auto"/>
        <w:bottom w:val="none" w:sz="0" w:space="0" w:color="auto"/>
        <w:right w:val="none" w:sz="0" w:space="0" w:color="auto"/>
      </w:divBdr>
    </w:div>
    <w:div w:id="923029422">
      <w:bodyDiv w:val="1"/>
      <w:marLeft w:val="0"/>
      <w:marRight w:val="0"/>
      <w:marTop w:val="0"/>
      <w:marBottom w:val="0"/>
      <w:divBdr>
        <w:top w:val="none" w:sz="0" w:space="0" w:color="auto"/>
        <w:left w:val="none" w:sz="0" w:space="0" w:color="auto"/>
        <w:bottom w:val="none" w:sz="0" w:space="0" w:color="auto"/>
        <w:right w:val="none" w:sz="0" w:space="0" w:color="auto"/>
      </w:divBdr>
    </w:div>
    <w:div w:id="1153911397">
      <w:bodyDiv w:val="1"/>
      <w:marLeft w:val="0"/>
      <w:marRight w:val="0"/>
      <w:marTop w:val="0"/>
      <w:marBottom w:val="0"/>
      <w:divBdr>
        <w:top w:val="none" w:sz="0" w:space="0" w:color="auto"/>
        <w:left w:val="none" w:sz="0" w:space="0" w:color="auto"/>
        <w:bottom w:val="none" w:sz="0" w:space="0" w:color="auto"/>
        <w:right w:val="none" w:sz="0" w:space="0" w:color="auto"/>
      </w:divBdr>
    </w:div>
    <w:div w:id="1180466000">
      <w:bodyDiv w:val="1"/>
      <w:marLeft w:val="0"/>
      <w:marRight w:val="0"/>
      <w:marTop w:val="0"/>
      <w:marBottom w:val="0"/>
      <w:divBdr>
        <w:top w:val="none" w:sz="0" w:space="0" w:color="auto"/>
        <w:left w:val="none" w:sz="0" w:space="0" w:color="auto"/>
        <w:bottom w:val="none" w:sz="0" w:space="0" w:color="auto"/>
        <w:right w:val="none" w:sz="0" w:space="0" w:color="auto"/>
      </w:divBdr>
    </w:div>
    <w:div w:id="1374109921">
      <w:bodyDiv w:val="1"/>
      <w:marLeft w:val="0"/>
      <w:marRight w:val="0"/>
      <w:marTop w:val="0"/>
      <w:marBottom w:val="0"/>
      <w:divBdr>
        <w:top w:val="none" w:sz="0" w:space="0" w:color="auto"/>
        <w:left w:val="none" w:sz="0" w:space="0" w:color="auto"/>
        <w:bottom w:val="none" w:sz="0" w:space="0" w:color="auto"/>
        <w:right w:val="none" w:sz="0" w:space="0" w:color="auto"/>
      </w:divBdr>
    </w:div>
    <w:div w:id="1440418273">
      <w:bodyDiv w:val="1"/>
      <w:marLeft w:val="0"/>
      <w:marRight w:val="0"/>
      <w:marTop w:val="0"/>
      <w:marBottom w:val="0"/>
      <w:divBdr>
        <w:top w:val="none" w:sz="0" w:space="0" w:color="auto"/>
        <w:left w:val="none" w:sz="0" w:space="0" w:color="auto"/>
        <w:bottom w:val="none" w:sz="0" w:space="0" w:color="auto"/>
        <w:right w:val="none" w:sz="0" w:space="0" w:color="auto"/>
      </w:divBdr>
    </w:div>
    <w:div w:id="1555504189">
      <w:bodyDiv w:val="1"/>
      <w:marLeft w:val="0"/>
      <w:marRight w:val="0"/>
      <w:marTop w:val="0"/>
      <w:marBottom w:val="0"/>
      <w:divBdr>
        <w:top w:val="none" w:sz="0" w:space="0" w:color="auto"/>
        <w:left w:val="none" w:sz="0" w:space="0" w:color="auto"/>
        <w:bottom w:val="none" w:sz="0" w:space="0" w:color="auto"/>
        <w:right w:val="none" w:sz="0" w:space="0" w:color="auto"/>
      </w:divBdr>
    </w:div>
    <w:div w:id="1606186898">
      <w:bodyDiv w:val="1"/>
      <w:marLeft w:val="0"/>
      <w:marRight w:val="0"/>
      <w:marTop w:val="0"/>
      <w:marBottom w:val="0"/>
      <w:divBdr>
        <w:top w:val="none" w:sz="0" w:space="0" w:color="auto"/>
        <w:left w:val="none" w:sz="0" w:space="0" w:color="auto"/>
        <w:bottom w:val="none" w:sz="0" w:space="0" w:color="auto"/>
        <w:right w:val="none" w:sz="0" w:space="0" w:color="auto"/>
      </w:divBdr>
    </w:div>
    <w:div w:id="1702172138">
      <w:bodyDiv w:val="1"/>
      <w:marLeft w:val="0"/>
      <w:marRight w:val="0"/>
      <w:marTop w:val="0"/>
      <w:marBottom w:val="0"/>
      <w:divBdr>
        <w:top w:val="none" w:sz="0" w:space="0" w:color="auto"/>
        <w:left w:val="none" w:sz="0" w:space="0" w:color="auto"/>
        <w:bottom w:val="none" w:sz="0" w:space="0" w:color="auto"/>
        <w:right w:val="none" w:sz="0" w:space="0" w:color="auto"/>
      </w:divBdr>
    </w:div>
    <w:div w:id="1748460719">
      <w:bodyDiv w:val="1"/>
      <w:marLeft w:val="0"/>
      <w:marRight w:val="0"/>
      <w:marTop w:val="0"/>
      <w:marBottom w:val="0"/>
      <w:divBdr>
        <w:top w:val="none" w:sz="0" w:space="0" w:color="auto"/>
        <w:left w:val="none" w:sz="0" w:space="0" w:color="auto"/>
        <w:bottom w:val="none" w:sz="0" w:space="0" w:color="auto"/>
        <w:right w:val="none" w:sz="0" w:space="0" w:color="auto"/>
      </w:divBdr>
    </w:div>
    <w:div w:id="1774740054">
      <w:bodyDiv w:val="1"/>
      <w:marLeft w:val="0"/>
      <w:marRight w:val="0"/>
      <w:marTop w:val="0"/>
      <w:marBottom w:val="0"/>
      <w:divBdr>
        <w:top w:val="none" w:sz="0" w:space="0" w:color="auto"/>
        <w:left w:val="none" w:sz="0" w:space="0" w:color="auto"/>
        <w:bottom w:val="none" w:sz="0" w:space="0" w:color="auto"/>
        <w:right w:val="none" w:sz="0" w:space="0" w:color="auto"/>
      </w:divBdr>
    </w:div>
    <w:div w:id="2017071579">
      <w:bodyDiv w:val="1"/>
      <w:marLeft w:val="0"/>
      <w:marRight w:val="0"/>
      <w:marTop w:val="0"/>
      <w:marBottom w:val="0"/>
      <w:divBdr>
        <w:top w:val="none" w:sz="0" w:space="0" w:color="auto"/>
        <w:left w:val="none" w:sz="0" w:space="0" w:color="auto"/>
        <w:bottom w:val="none" w:sz="0" w:space="0" w:color="auto"/>
        <w:right w:val="none" w:sz="0" w:space="0" w:color="auto"/>
      </w:divBdr>
    </w:div>
    <w:div w:id="21450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Chr16</b:Tag>
    <b:SourceType>JournalArticle</b:SourceType>
    <b:Guid>{5595AA65-59A1-402C-9645-AA872E5C6E14}</b:Guid>
    <b:Title>Blockchains and Smart Contracts for the Internet of Things</b:Title>
    <b:Year>2016</b:Year>
    <b:JournalName>IEEE Access</b:JournalName>
    <b:Pages>2292 - 2303</b:Pages>
    <b:Volume>4</b:Volume>
    <b:DOI>10.1109/ACCESS.2016.2566339</b:DOI>
    <b:Author>
      <b:Author>
        <b:NameList>
          <b:Person>
            <b:Last>Christidis</b:Last>
            <b:First>Konstantinos</b:First>
          </b:Person>
          <b:Person>
            <b:Last>Devetsikiotis</b:Last>
            <b:First>Michael</b:First>
          </b:Person>
        </b:NameList>
      </b:Author>
    </b:Author>
    <b:RefOrder>1</b:RefOrder>
  </b:Source>
  <b:Source>
    <b:Tag>Sin17</b:Tag>
    <b:SourceType>ConferenceProceedings</b:SourceType>
    <b:Guid>{577A2214-2E1F-48BE-A427-1B5DCB7BD483}</b:Guid>
    <b:Title>Blockchain: Future of Financial and Cyber Security</b:Title>
    <b:Year>2017</b:Year>
    <b:City>Noida, India</b:City>
    <b:Author>
      <b:Author>
        <b:NameList>
          <b:Person>
            <b:Last>Singh</b:Last>
            <b:First>Sachchidanand</b:First>
          </b:Person>
          <b:Person>
            <b:Last>Singh</b:Last>
            <b:First>Nirmala</b:First>
          </b:Person>
        </b:NameList>
      </b:Author>
    </b:Author>
    <b:ConferenceName>2016 2nd International Conference on Contemporary Computing and Informatics (IC3I)</b:ConferenceName>
    <b:RefOrder>2</b:RefOrder>
  </b:Source>
  <b:Source>
    <b:Tag>Far19</b:Tag>
    <b:SourceType>JournalArticle</b:SourceType>
    <b:Guid>{B6C945DD-667F-4747-B2EB-89FBCB341ECD}</b:Guid>
    <b:Title>Design of a Forgetting Blockchain: A Possible Way to Accomplish GDPR Compatibility</b:Title>
    <b:Year>2019</b:Year>
    <b:JournalName>Hawaii International Conference on System Sciences |</b:JournalName>
    <b:Pages>7087-7095</b:Pages>
    <b:Author>
      <b:Author>
        <b:NameList>
          <b:Person>
            <b:Last>Farshid</b:Last>
            <b:First>Simon</b:First>
          </b:Person>
          <b:Person>
            <b:Last>Reitz</b:Last>
            <b:First>Andreas</b:First>
          </b:Person>
          <b:Person>
            <b:Last>Roßbach</b:Last>
            <b:First>Peter</b:First>
          </b:Person>
        </b:NameList>
      </b:Author>
    </b:Author>
    <b:DOI>http://hdl.handle.net/10125/60145</b:DOI>
    <b:RefOrder>3</b:RefOrder>
  </b:Source>
  <b:Source>
    <b:Tag>Nat191</b:Tag>
    <b:SourceType>InternetSite</b:SourceType>
    <b:Guid>{E259891C-F80B-4AD8-9184-CEA518F42388}</b:Guid>
    <b:Author>
      <b:Author>
        <b:Corporate>National Conference of State Legislatures</b:Corporate>
      </b:Author>
    </b:Author>
    <b:Title>Data Disposal Laws</b:Title>
    <b:City>Denver</b:City>
    <b:StateProvince>Colorado</b:StateProvince>
    <b:CountryRegion>United States of America</b:CountryRegion>
    <b:Year>2019</b:Year>
    <b:Month>January</b:Month>
    <b:Day>04</b:Day>
    <b:InternetSiteTitle>NCSL.org</b:InternetSiteTitle>
    <b:URL>http://www.ncsl.org/research/telecommunications-and-information-technology/security-breach-notification-laws.aspx</b:URL>
    <b:ProductionCompany>National Conference of State Legislatures</b:ProductionCompany>
    <b:YearAccessed>2019</b:YearAccessed>
    <b:MonthAccessed>January</b:MonthAccessed>
    <b:DayAccessed>1</b:DayAccessed>
    <b:RefOrder>4</b:RefOrder>
  </b:Source>
  <b:Source>
    <b:Tag>Nat19</b:Tag>
    <b:SourceType>InternetSite</b:SourceType>
    <b:Guid>{C72F8C12-485B-449A-A58C-D899BA4FAE1F}</b:Guid>
    <b:Title>Security Breach Notification Laws</b:Title>
    <b:Year>2018</b:Year>
    <b:City>Denver</b:City>
    <b:Author>
      <b:Author>
        <b:Corporate>National Conference of State Legislatures</b:Corporate>
      </b:Author>
    </b:Author>
    <b:StateProvince>Colorado</b:StateProvince>
    <b:CountryRegion>United States of America</b:CountryRegion>
    <b:Month>September</b:Month>
    <b:Day>29</b:Day>
    <b:InternetSiteTitle>NCSL.org</b:InternetSiteTitle>
    <b:URL>http://www.ncsl.org/research/telecommunications-and-information-technology/data-disposal-laws.aspx</b:URL>
    <b:ProductionCompany>National Conference of State Legislatures</b:ProductionCompany>
    <b:YearAccessed>2019</b:YearAccessed>
    <b:MonthAccessed>January</b:MonthAccessed>
    <b:DayAccessed>31</b:DayAccessed>
    <b:RefOrder>5</b:RefOrder>
  </b:Source>
  <b:Source>
    <b:Tag>THE16</b:Tag>
    <b:SourceType>Misc</b:SourceType>
    <b:Guid>{6E1B313F-D8F1-417D-8DF3-2A23087BBEA6}</b:Guid>
    <b:Title>REGULATION (EU) 2016/679 OF THE EUROPEAN PARLIAMENT AND OF THE COUNCIL of 27 April 2016 on the protection of natural persons with regard to the processing of personal data and on the free movement of such data, and repealing Directive 95/46/EC (GDPR)</b:Title>
    <b:Year>2016</b:Year>
    <b:Author>
      <b:Author>
        <b:Corporate>THE EUROPEAN PARLIAMENT AND THE COUNCIL OF THE EUROPEAN UNION</b:Corporate>
      </b:Author>
    </b:Author>
    <b:PublicationTitle>Official Journal of the European Union</b:PublicationTitle>
    <b:Edition>L 119</b:Edition>
    <b:DOI>http://data.europa.eu/eli/reg/2016/679/oj</b:DOI>
    <b:RefOrder>6</b:RefOrder>
  </b:Source>
  <b:Source>
    <b:Tag>Coe18</b:Tag>
    <b:SourceType>ConferenceProceedings</b:SourceType>
    <b:Guid>{873AB789-A64D-4998-876B-56CD6465AAAE}</b:Guid>
    <b:Title>The GDPR-Blockchain Paradox: A Work Around</b:Title>
    <b:Year>2018</b:Year>
    <b:Author>
      <b:Author>
        <b:NameList>
          <b:Person>
            <b:Last>Coelho</b:Last>
            <b:First>Fabio</b:First>
          </b:Person>
          <b:Person>
            <b:Last>Younes</b:Last>
            <b:First>George</b:First>
          </b:Person>
        </b:NameList>
      </b:Author>
    </b:Author>
    <b:ConferenceName>Workshop on GDPR Compliant Systems</b:ConferenceName>
    <b:City>Rennes, France</b:City>
    <b:RefOrder>7</b:RefOrder>
  </b:Source>
  <b:Source>
    <b:Tag>Mol18</b:Tag>
    <b:SourceType>JournalArticle</b:SourceType>
    <b:Guid>{8A3383E7-3321-4C93-943F-5F96517A2DDC}</b:Guid>
    <b:Title>Implementation of Smart Contracts Using Hybrid Architectures with On-and Off-Blockchain Components</b:Title>
    <b:JournalName>ResearchGate</b:JournalName>
    <b:Year>2018</b:Year>
    <b:Pages>1-12</b:Pages>
    <b:Author>
      <b:Author>
        <b:NameList>
          <b:Person>
            <b:Last>Molina-Jiménez</b:Last>
            <b:First>Carlos</b:First>
          </b:Person>
          <b:Person>
            <b:Last>Sfyrakis</b:Last>
            <b:First>Ioannis</b:First>
          </b:Person>
          <b:Person>
            <b:Last>Solaiman</b:Last>
            <b:First>Ellis</b:First>
          </b:Person>
          <b:Person>
            <b:Last>Ng</b:Last>
            <b:Middle>C L</b:Middle>
            <b:First>Irene</b:First>
          </b:Person>
          <b:Person>
            <b:Last>Meng</b:Last>
            <b:First>Weng</b:First>
          </b:Person>
          <b:Person>
            <b:Last>Wong</b:Last>
          </b:Person>
          <b:Person>
            <b:Last>Chun</b:Last>
            <b:First>Alexis</b:First>
          </b:Person>
          <b:Person>
            <b:Last>Crowcroft</b:Last>
            <b:First>Jon</b:First>
          </b:Person>
        </b:NameList>
      </b:Author>
    </b:Author>
    <b:DOI>10.13140</b:DOI>
    <b:RefOrder>8</b:RefOrder>
  </b:Source>
  <b:Source>
    <b:Tag>Fab19</b:Tag>
    <b:SourceType>JournalArticle</b:SourceType>
    <b:Guid>{473F514E-82F5-40B0-8DE6-CF79C665B2FE}</b:Guid>
    <b:Title>BPDIMS: A Blockchain-based Personal Data and Identity Management System</b:Title>
    <b:Year>2019</b:Year>
    <b:JournalName>Proceedings of the 52nd Hawaii Interantional Conference on System Sciences</b:JournalName>
    <b:Pages>6855-6864</b:Pages>
    <b:Author>
      <b:Author>
        <b:NameList>
          <b:Person>
            <b:Last>Faber</b:Last>
            <b:First>Benedict</b:First>
          </b:Person>
          <b:Person>
            <b:Last>Michelet</b:Last>
            <b:First>Georg</b:First>
          </b:Person>
          <b:Person>
            <b:Last>Weidmann</b:Last>
            <b:First>Niklas</b:First>
          </b:Person>
          <b:Person>
            <b:Last>Mukkamala</b:Last>
            <b:Middle>Rao</b:Middle>
            <b:First>Raghava</b:First>
          </b:Person>
          <b:Person>
            <b:Last>Vatrapu</b:Last>
            <b:First>Ravi</b:First>
          </b:Person>
        </b:NameList>
      </b:Author>
    </b:Author>
    <b:RefOrder>9</b:RefOrder>
  </b:Source>
  <b:Source>
    <b:Tag>Wir18</b:Tag>
    <b:SourceType>JournalArticle</b:SourceType>
    <b:Guid>{C7EDF519-3FBF-4289-9106-16A307E4585A}</b:Guid>
    <b:Title>Privacy by Blockchain Design: A Blockchain-enabled GDPR-compliant Approach for Handling Personal Data</b:Title>
    <b:JournalName>Proceedings of the 1st ERCIM Blockchain Workshop 2018, Reports of the European Society for Scoially Embedded Technologies</b:JournalName>
    <b:Year>2018</b:Year>
    <b:Author>
      <b:Author>
        <b:NameList>
          <b:Person>
            <b:Last>Wirth</b:Last>
            <b:First>Christian</b:First>
          </b:Person>
          <b:Person>
            <b:Last>Kolain</b:Last>
            <b:First>Micahael</b:First>
          </b:Person>
        </b:NameList>
      </b:Author>
    </b:Author>
    <b:RefOrder>10</b:RefOrder>
  </b:Source>
</b:Sources>
</file>

<file path=customXml/itemProps1.xml><?xml version="1.0" encoding="utf-8"?>
<ds:datastoreItem xmlns:ds="http://schemas.openxmlformats.org/officeDocument/2006/customXml" ds:itemID="{4A1950D3-171C-4225-9A14-8B66F144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7308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Nguyen</cp:lastModifiedBy>
  <cp:revision>14</cp:revision>
  <cp:lastPrinted>2012-08-02T18:53:00Z</cp:lastPrinted>
  <dcterms:created xsi:type="dcterms:W3CDTF">2019-02-01T22:03:00Z</dcterms:created>
  <dcterms:modified xsi:type="dcterms:W3CDTF">2019-03-13T23:53:00Z</dcterms:modified>
</cp:coreProperties>
</file>