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14D3A" w14:textId="31764944" w:rsidR="002F4801" w:rsidRDefault="00A74D45"/>
    <w:p w14:paraId="21E58F52" w14:textId="2AA061E1" w:rsidR="00EA30E0" w:rsidRPr="009F7A25" w:rsidRDefault="00EA30E0">
      <w:pPr>
        <w:rPr>
          <w:sz w:val="24"/>
        </w:rPr>
      </w:pPr>
      <w:r w:rsidRPr="009F7A25">
        <w:rPr>
          <w:sz w:val="24"/>
        </w:rPr>
        <w:t>The General Data Protection Regulation (GDPR) was created from the European Commission to reform data protection across the European Union in order to make Europe ‘fit for the digital age’. (</w:t>
      </w:r>
      <w:r w:rsidR="007854EE" w:rsidRPr="009F7A25">
        <w:rPr>
          <w:sz w:val="24"/>
        </w:rPr>
        <w:t>1</w:t>
      </w:r>
      <w:r w:rsidRPr="009F7A25">
        <w:rPr>
          <w:sz w:val="24"/>
        </w:rPr>
        <w:t xml:space="preserve">)  The origins of what is now known as the GDPR began in 2012.  All organizations in the member-states across Europe, including those who have dealings with businesses in Europe must adhere to the GDPR EU framework. </w:t>
      </w:r>
      <w:r w:rsidR="00F62BC2" w:rsidRPr="009F7A25">
        <w:rPr>
          <w:sz w:val="24"/>
        </w:rPr>
        <w:t>The GDPR was approved and adopted in April 2016 but was not enforced</w:t>
      </w:r>
      <w:bookmarkStart w:id="0" w:name="_GoBack"/>
      <w:bookmarkEnd w:id="0"/>
      <w:r w:rsidR="00F62BC2" w:rsidRPr="009F7A25">
        <w:rPr>
          <w:sz w:val="24"/>
        </w:rPr>
        <w:t xml:space="preserve"> until May 25, 2018. (2)</w:t>
      </w:r>
    </w:p>
    <w:p w14:paraId="3ECDE795" w14:textId="3FBFC5D1" w:rsidR="00EA30E0" w:rsidRPr="00A74D45" w:rsidRDefault="007854EE" w:rsidP="00A74D45">
      <w:pPr>
        <w:ind w:left="720" w:right="720"/>
        <w:rPr>
          <w:sz w:val="20"/>
        </w:rPr>
      </w:pPr>
      <w:r w:rsidRPr="00A74D45">
        <w:rPr>
          <w:sz w:val="20"/>
        </w:rPr>
        <w:t>“</w:t>
      </w:r>
      <w:r w:rsidR="00EA30E0" w:rsidRPr="00A74D45">
        <w:rPr>
          <w:sz w:val="20"/>
        </w:rPr>
        <w:t xml:space="preserve">The key changes in the reform include: </w:t>
      </w:r>
    </w:p>
    <w:p w14:paraId="6F8F92E7" w14:textId="77777777" w:rsidR="00EA30E0" w:rsidRPr="00EA30E0" w:rsidRDefault="00EA30E0" w:rsidP="00A74D45">
      <w:pPr>
        <w:pStyle w:val="ListParagraph"/>
        <w:numPr>
          <w:ilvl w:val="0"/>
          <w:numId w:val="1"/>
        </w:numPr>
        <w:ind w:left="720" w:right="720"/>
        <w:rPr>
          <w:sz w:val="20"/>
        </w:rPr>
      </w:pPr>
      <w:r w:rsidRPr="00EA30E0">
        <w:rPr>
          <w:sz w:val="20"/>
        </w:rPr>
        <w:t>A </w:t>
      </w:r>
      <w:r w:rsidRPr="00EA30E0">
        <w:rPr>
          <w:b/>
          <w:bCs/>
          <w:sz w:val="20"/>
        </w:rPr>
        <w:t>single set of rules</w:t>
      </w:r>
      <w:r w:rsidRPr="00EA30E0">
        <w:rPr>
          <w:sz w:val="20"/>
        </w:rPr>
        <w:t> on data protection, valid across the EU. Unnecessary </w:t>
      </w:r>
      <w:r w:rsidRPr="00EA30E0">
        <w:rPr>
          <w:b/>
          <w:bCs/>
          <w:sz w:val="20"/>
        </w:rPr>
        <w:t>administrative requirements,</w:t>
      </w:r>
      <w:r w:rsidRPr="00EA30E0">
        <w:rPr>
          <w:sz w:val="20"/>
        </w:rPr>
        <w:t> such as notification requirements for companies, will be removed. This will save businesses around €2.3 billion a year.</w:t>
      </w:r>
    </w:p>
    <w:p w14:paraId="72039310" w14:textId="77777777" w:rsidR="00EA30E0" w:rsidRPr="00EA30E0" w:rsidRDefault="00EA30E0" w:rsidP="00A74D45">
      <w:pPr>
        <w:pStyle w:val="ListParagraph"/>
        <w:numPr>
          <w:ilvl w:val="0"/>
          <w:numId w:val="1"/>
        </w:numPr>
        <w:ind w:left="720" w:right="720"/>
        <w:rPr>
          <w:sz w:val="20"/>
        </w:rPr>
      </w:pPr>
      <w:r w:rsidRPr="00EA30E0">
        <w:rPr>
          <w:sz w:val="20"/>
        </w:rPr>
        <w:t>Instead of the current obligation of all companies to notify all data protection activities to data protection supervisors – a requirement that has led to unnecessary paperwork and costs businesses €130 million per year, the Regulation provides for increased </w:t>
      </w:r>
      <w:r w:rsidRPr="00EA30E0">
        <w:rPr>
          <w:b/>
          <w:bCs/>
          <w:sz w:val="20"/>
        </w:rPr>
        <w:t>responsibility and accountability</w:t>
      </w:r>
      <w:r w:rsidRPr="00EA30E0">
        <w:rPr>
          <w:sz w:val="20"/>
        </w:rPr>
        <w:t> for those processing personal data.</w:t>
      </w:r>
    </w:p>
    <w:p w14:paraId="0E2DC36D" w14:textId="77777777" w:rsidR="00EA30E0" w:rsidRPr="00EA30E0" w:rsidRDefault="00EA30E0" w:rsidP="00A74D45">
      <w:pPr>
        <w:pStyle w:val="ListParagraph"/>
        <w:numPr>
          <w:ilvl w:val="0"/>
          <w:numId w:val="1"/>
        </w:numPr>
        <w:ind w:left="720" w:right="720"/>
        <w:rPr>
          <w:sz w:val="20"/>
        </w:rPr>
      </w:pPr>
      <w:r w:rsidRPr="00EA30E0">
        <w:rPr>
          <w:sz w:val="20"/>
        </w:rPr>
        <w:t xml:space="preserve">For example, companies and </w:t>
      </w:r>
      <w:proofErr w:type="spellStart"/>
      <w:r w:rsidRPr="00EA30E0">
        <w:rPr>
          <w:sz w:val="20"/>
        </w:rPr>
        <w:t>organisations</w:t>
      </w:r>
      <w:proofErr w:type="spellEnd"/>
      <w:r w:rsidRPr="00EA30E0">
        <w:rPr>
          <w:sz w:val="20"/>
        </w:rPr>
        <w:t xml:space="preserve"> must notify the national supervisory authority of serious </w:t>
      </w:r>
      <w:r w:rsidRPr="00EA30E0">
        <w:rPr>
          <w:b/>
          <w:bCs/>
          <w:sz w:val="20"/>
        </w:rPr>
        <w:t>data breaches</w:t>
      </w:r>
      <w:r w:rsidRPr="00EA30E0">
        <w:rPr>
          <w:sz w:val="20"/>
        </w:rPr>
        <w:t> as soon as possible (if feasible within 24 hours).</w:t>
      </w:r>
    </w:p>
    <w:p w14:paraId="0CAEF4C2" w14:textId="77777777" w:rsidR="00EA30E0" w:rsidRPr="00EA30E0" w:rsidRDefault="00EA30E0" w:rsidP="00A74D45">
      <w:pPr>
        <w:pStyle w:val="ListParagraph"/>
        <w:numPr>
          <w:ilvl w:val="0"/>
          <w:numId w:val="1"/>
        </w:numPr>
        <w:ind w:left="720" w:right="720"/>
        <w:rPr>
          <w:sz w:val="20"/>
        </w:rPr>
      </w:pPr>
      <w:proofErr w:type="spellStart"/>
      <w:r w:rsidRPr="00EA30E0">
        <w:rPr>
          <w:sz w:val="20"/>
        </w:rPr>
        <w:t>Organisations</w:t>
      </w:r>
      <w:proofErr w:type="spellEnd"/>
      <w:r w:rsidRPr="00EA30E0">
        <w:rPr>
          <w:sz w:val="20"/>
        </w:rPr>
        <w:t xml:space="preserve"> will only have to deal with a </w:t>
      </w:r>
      <w:r w:rsidRPr="00EA30E0">
        <w:rPr>
          <w:b/>
          <w:bCs/>
          <w:sz w:val="20"/>
        </w:rPr>
        <w:t>single national data protection authority</w:t>
      </w:r>
      <w:r w:rsidRPr="00EA30E0">
        <w:rPr>
          <w:sz w:val="20"/>
        </w:rPr>
        <w:t> in the EU country where they have their main establishment. Likewise, people can refer to the</w:t>
      </w:r>
      <w:r w:rsidRPr="00EA30E0">
        <w:rPr>
          <w:b/>
          <w:bCs/>
          <w:sz w:val="20"/>
        </w:rPr>
        <w:t> data protection authority</w:t>
      </w:r>
      <w:r w:rsidRPr="00EA30E0">
        <w:rPr>
          <w:sz w:val="20"/>
        </w:rPr>
        <w:t> in their country, even when their data is processed by a company based outside the EU. Wherever </w:t>
      </w:r>
      <w:r w:rsidRPr="00EA30E0">
        <w:rPr>
          <w:b/>
          <w:bCs/>
          <w:sz w:val="20"/>
        </w:rPr>
        <w:t>consent</w:t>
      </w:r>
      <w:r w:rsidRPr="00EA30E0">
        <w:rPr>
          <w:sz w:val="20"/>
        </w:rPr>
        <w:t xml:space="preserve"> is required for data to be processed, it is clarified that it </w:t>
      </w:r>
      <w:proofErr w:type="gramStart"/>
      <w:r w:rsidRPr="00EA30E0">
        <w:rPr>
          <w:sz w:val="20"/>
        </w:rPr>
        <w:t>has to</w:t>
      </w:r>
      <w:proofErr w:type="gramEnd"/>
      <w:r w:rsidRPr="00EA30E0">
        <w:rPr>
          <w:sz w:val="20"/>
        </w:rPr>
        <w:t xml:space="preserve"> be given explicitly, rather than assumed.</w:t>
      </w:r>
    </w:p>
    <w:p w14:paraId="2EF066E2" w14:textId="77777777" w:rsidR="00EA30E0" w:rsidRPr="00EA30E0" w:rsidRDefault="00EA30E0" w:rsidP="00A74D45">
      <w:pPr>
        <w:pStyle w:val="ListParagraph"/>
        <w:numPr>
          <w:ilvl w:val="0"/>
          <w:numId w:val="1"/>
        </w:numPr>
        <w:ind w:left="720" w:right="720"/>
        <w:rPr>
          <w:sz w:val="20"/>
        </w:rPr>
      </w:pPr>
      <w:r w:rsidRPr="00EA30E0">
        <w:rPr>
          <w:sz w:val="20"/>
        </w:rPr>
        <w:t>People will have easier </w:t>
      </w:r>
      <w:r w:rsidRPr="00EA30E0">
        <w:rPr>
          <w:b/>
          <w:bCs/>
          <w:sz w:val="20"/>
        </w:rPr>
        <w:t>access to their own data</w:t>
      </w:r>
      <w:r w:rsidRPr="00EA30E0">
        <w:rPr>
          <w:sz w:val="20"/>
        </w:rPr>
        <w:t> and be able to </w:t>
      </w:r>
      <w:r w:rsidRPr="00EA30E0">
        <w:rPr>
          <w:b/>
          <w:bCs/>
          <w:sz w:val="20"/>
        </w:rPr>
        <w:t>transfer personal data</w:t>
      </w:r>
      <w:r w:rsidRPr="00EA30E0">
        <w:rPr>
          <w:sz w:val="20"/>
        </w:rPr>
        <w:t> from one service provider to another more easily (right to data portability). This will improve competition among services.</w:t>
      </w:r>
    </w:p>
    <w:p w14:paraId="57A7AC9D" w14:textId="77777777" w:rsidR="00EA30E0" w:rsidRPr="00EA30E0" w:rsidRDefault="00EA30E0" w:rsidP="00A74D45">
      <w:pPr>
        <w:pStyle w:val="ListParagraph"/>
        <w:numPr>
          <w:ilvl w:val="0"/>
          <w:numId w:val="1"/>
        </w:numPr>
        <w:ind w:left="720" w:right="720"/>
        <w:rPr>
          <w:sz w:val="20"/>
        </w:rPr>
      </w:pPr>
      <w:r w:rsidRPr="00EA30E0">
        <w:rPr>
          <w:sz w:val="20"/>
        </w:rPr>
        <w:t>A </w:t>
      </w:r>
      <w:r w:rsidRPr="00EA30E0">
        <w:rPr>
          <w:b/>
          <w:bCs/>
          <w:sz w:val="20"/>
        </w:rPr>
        <w:t>‘right to be forgotten’</w:t>
      </w:r>
      <w:r w:rsidRPr="00EA30E0">
        <w:rPr>
          <w:sz w:val="20"/>
        </w:rPr>
        <w:t> will help people better manage data protection risks online: people will be able to delete their data if there are no legitimate grounds for retaining it.</w:t>
      </w:r>
    </w:p>
    <w:p w14:paraId="5695EBEF" w14:textId="77777777" w:rsidR="00EA30E0" w:rsidRPr="00EA30E0" w:rsidRDefault="00EA30E0" w:rsidP="00A74D45">
      <w:pPr>
        <w:pStyle w:val="ListParagraph"/>
        <w:numPr>
          <w:ilvl w:val="0"/>
          <w:numId w:val="1"/>
        </w:numPr>
        <w:ind w:left="720" w:right="720"/>
        <w:rPr>
          <w:sz w:val="20"/>
        </w:rPr>
      </w:pPr>
      <w:r w:rsidRPr="00EA30E0">
        <w:rPr>
          <w:sz w:val="20"/>
        </w:rPr>
        <w:t>EU rules must apply if personal data is </w:t>
      </w:r>
      <w:r w:rsidRPr="00EA30E0">
        <w:rPr>
          <w:b/>
          <w:bCs/>
          <w:sz w:val="20"/>
        </w:rPr>
        <w:t>handled abroad </w:t>
      </w:r>
      <w:r w:rsidRPr="00EA30E0">
        <w:rPr>
          <w:sz w:val="20"/>
        </w:rPr>
        <w:t>by companies that are active in the EU market and offer their services to EU citizens.</w:t>
      </w:r>
    </w:p>
    <w:p w14:paraId="5089150D" w14:textId="77777777" w:rsidR="00EA30E0" w:rsidRPr="00EA30E0" w:rsidRDefault="00EA30E0" w:rsidP="00A74D45">
      <w:pPr>
        <w:pStyle w:val="ListParagraph"/>
        <w:numPr>
          <w:ilvl w:val="0"/>
          <w:numId w:val="1"/>
        </w:numPr>
        <w:ind w:left="720" w:right="720"/>
        <w:rPr>
          <w:sz w:val="20"/>
        </w:rPr>
      </w:pPr>
      <w:r w:rsidRPr="00EA30E0">
        <w:rPr>
          <w:b/>
          <w:bCs/>
          <w:sz w:val="20"/>
        </w:rPr>
        <w:t>Independent national data protection authorities</w:t>
      </w:r>
      <w:r w:rsidRPr="00EA30E0">
        <w:rPr>
          <w:sz w:val="20"/>
        </w:rPr>
        <w:t> will be strengthened so they can better enforce the EU rules at home. They will be empowered to fine companies that violate EU data protection rules. This can lead to penalties of up to €1 million or up to 2% of the global annual turnover of a company.</w:t>
      </w:r>
    </w:p>
    <w:p w14:paraId="35F97CC6" w14:textId="52F6B946" w:rsidR="00EA30E0" w:rsidRPr="00EA30E0" w:rsidRDefault="00EA30E0" w:rsidP="00A74D45">
      <w:pPr>
        <w:pStyle w:val="ListParagraph"/>
        <w:numPr>
          <w:ilvl w:val="0"/>
          <w:numId w:val="1"/>
        </w:numPr>
        <w:ind w:left="720" w:right="720"/>
        <w:rPr>
          <w:sz w:val="20"/>
        </w:rPr>
      </w:pPr>
      <w:r w:rsidRPr="00EA30E0">
        <w:rPr>
          <w:sz w:val="20"/>
        </w:rPr>
        <w:t>A new</w:t>
      </w:r>
      <w:r w:rsidRPr="00EA30E0">
        <w:rPr>
          <w:b/>
          <w:bCs/>
          <w:sz w:val="20"/>
        </w:rPr>
        <w:t> Directive </w:t>
      </w:r>
      <w:r w:rsidRPr="00EA30E0">
        <w:rPr>
          <w:sz w:val="20"/>
        </w:rPr>
        <w:t>will apply general data protection principles and rules</w:t>
      </w:r>
      <w:r w:rsidRPr="00EA30E0">
        <w:rPr>
          <w:b/>
          <w:bCs/>
          <w:sz w:val="20"/>
        </w:rPr>
        <w:t> </w:t>
      </w:r>
      <w:r w:rsidRPr="00EA30E0">
        <w:rPr>
          <w:sz w:val="20"/>
        </w:rPr>
        <w:t>for </w:t>
      </w:r>
      <w:r w:rsidRPr="00EA30E0">
        <w:rPr>
          <w:b/>
          <w:bCs/>
          <w:sz w:val="20"/>
        </w:rPr>
        <w:t>police and judicial cooperation</w:t>
      </w:r>
      <w:r w:rsidRPr="00EA30E0">
        <w:rPr>
          <w:sz w:val="20"/>
        </w:rPr>
        <w:t> in criminal matters. The rules will apply to both domestic and cross-border transfers of data.</w:t>
      </w:r>
      <w:proofErr w:type="gramStart"/>
      <w:r w:rsidR="007854EE" w:rsidRPr="00A74D45">
        <w:rPr>
          <w:sz w:val="20"/>
        </w:rPr>
        <w:t xml:space="preserve">” </w:t>
      </w:r>
      <w:proofErr w:type="gramEnd"/>
      <w:r w:rsidR="007854EE" w:rsidRPr="00A74D45">
        <w:rPr>
          <w:sz w:val="20"/>
        </w:rPr>
        <w:t>(1</w:t>
      </w:r>
      <w:r w:rsidR="007854EE" w:rsidRPr="00A74D45">
        <w:rPr>
          <w:sz w:val="20"/>
        </w:rPr>
        <w:t xml:space="preserve">)  </w:t>
      </w:r>
    </w:p>
    <w:p w14:paraId="599739C4" w14:textId="3B2E7DF0" w:rsidR="00EA30E0" w:rsidRPr="009F7A25" w:rsidRDefault="009F7A25" w:rsidP="00EA30E0">
      <w:pPr>
        <w:rPr>
          <w:sz w:val="24"/>
        </w:rPr>
      </w:pPr>
      <w:r w:rsidRPr="009F7A25">
        <w:rPr>
          <w:sz w:val="24"/>
        </w:rPr>
        <w:t xml:space="preserve">The GDPR at </w:t>
      </w:r>
      <w:r w:rsidR="00A74D45" w:rsidRPr="009F7A25">
        <w:rPr>
          <w:sz w:val="24"/>
        </w:rPr>
        <w:t>its</w:t>
      </w:r>
      <w:r w:rsidRPr="009F7A25">
        <w:rPr>
          <w:sz w:val="24"/>
        </w:rPr>
        <w:t xml:space="preserve"> core is powerful and needed, however, the application of it interferes with the premise behind Blockchain Technology.</w:t>
      </w:r>
    </w:p>
    <w:p w14:paraId="1E55C293" w14:textId="77777777" w:rsidR="00A74D45" w:rsidRDefault="00A74D45" w:rsidP="00EA30E0">
      <w:pPr>
        <w:rPr>
          <w:sz w:val="24"/>
        </w:rPr>
      </w:pPr>
    </w:p>
    <w:p w14:paraId="101C385B" w14:textId="3920533C" w:rsidR="007854EE" w:rsidRDefault="00A74D45" w:rsidP="00EA30E0">
      <w:pPr>
        <w:rPr>
          <w:b/>
          <w:i/>
          <w:sz w:val="24"/>
        </w:rPr>
      </w:pPr>
      <w:r w:rsidRPr="00A74D45">
        <w:rPr>
          <w:b/>
          <w:i/>
          <w:sz w:val="24"/>
        </w:rPr>
        <w:t xml:space="preserve">##Find and Discuss </w:t>
      </w:r>
      <w:r>
        <w:rPr>
          <w:b/>
          <w:i/>
          <w:sz w:val="24"/>
        </w:rPr>
        <w:t>specific</w:t>
      </w:r>
      <w:r w:rsidRPr="00A74D45">
        <w:rPr>
          <w:b/>
          <w:i/>
          <w:sz w:val="24"/>
        </w:rPr>
        <w:t xml:space="preserve"> GDPR articles that related to blockchain.  Unpack each one with a few sentences or small paragraph.</w:t>
      </w:r>
    </w:p>
    <w:p w14:paraId="4C77C8B5" w14:textId="77777777" w:rsidR="00A74D45" w:rsidRDefault="00A74D45" w:rsidP="00EA30E0">
      <w:pPr>
        <w:rPr>
          <w:b/>
          <w:i/>
          <w:sz w:val="24"/>
        </w:rPr>
      </w:pPr>
      <w:r>
        <w:rPr>
          <w:b/>
          <w:i/>
          <w:sz w:val="24"/>
        </w:rPr>
        <w:tab/>
        <w:t>## Potential sources (not journals – just gathering info to read)</w:t>
      </w:r>
    </w:p>
    <w:p w14:paraId="2825EBE8" w14:textId="4775F3D3" w:rsidR="00A74D45" w:rsidRDefault="00A74D45" w:rsidP="00A74D45">
      <w:pPr>
        <w:pStyle w:val="ListParagraph"/>
        <w:numPr>
          <w:ilvl w:val="0"/>
          <w:numId w:val="4"/>
        </w:numPr>
        <w:rPr>
          <w:b/>
          <w:i/>
          <w:sz w:val="24"/>
        </w:rPr>
      </w:pPr>
      <w:r w:rsidRPr="00A74D45">
        <w:rPr>
          <w:b/>
          <w:i/>
          <w:sz w:val="24"/>
        </w:rPr>
        <w:lastRenderedPageBreak/>
        <w:t xml:space="preserve"> </w:t>
      </w:r>
      <w:hyperlink r:id="rId5" w:history="1">
        <w:r w:rsidRPr="00A74D45">
          <w:rPr>
            <w:rStyle w:val="Hyperlink"/>
            <w:b/>
            <w:i/>
            <w:sz w:val="24"/>
          </w:rPr>
          <w:t>https://cointelegraph.com/news/gdpr-and-blockchain-is-the-new-eu-data-protection-regulation-a-threat-or-an-incentive</w:t>
        </w:r>
      </w:hyperlink>
      <w:r w:rsidRPr="00A74D45">
        <w:rPr>
          <w:b/>
          <w:i/>
          <w:sz w:val="24"/>
        </w:rPr>
        <w:t xml:space="preserve"> </w:t>
      </w:r>
    </w:p>
    <w:p w14:paraId="1317CC88" w14:textId="3A9EF3CB" w:rsidR="00A74D45" w:rsidRDefault="00A74D45" w:rsidP="00A74D45">
      <w:pPr>
        <w:pStyle w:val="ListParagraph"/>
        <w:numPr>
          <w:ilvl w:val="0"/>
          <w:numId w:val="4"/>
        </w:numPr>
        <w:rPr>
          <w:b/>
          <w:i/>
          <w:sz w:val="24"/>
        </w:rPr>
      </w:pPr>
      <w:hyperlink r:id="rId6" w:history="1">
        <w:r w:rsidRPr="00627886">
          <w:rPr>
            <w:rStyle w:val="Hyperlink"/>
            <w:b/>
            <w:i/>
            <w:sz w:val="24"/>
          </w:rPr>
          <w:t>https://www.cnil.fr/en/blockchain-and-gdpr-solutions-responsible-use-blockchain-context-personal-data</w:t>
        </w:r>
      </w:hyperlink>
    </w:p>
    <w:p w14:paraId="561E3E5F" w14:textId="66586CB1" w:rsidR="00A74D45" w:rsidRDefault="00A74D45" w:rsidP="00A74D45">
      <w:pPr>
        <w:pStyle w:val="ListParagraph"/>
        <w:numPr>
          <w:ilvl w:val="1"/>
          <w:numId w:val="4"/>
        </w:numPr>
        <w:rPr>
          <w:b/>
          <w:i/>
          <w:sz w:val="24"/>
        </w:rPr>
      </w:pPr>
      <w:hyperlink r:id="rId7" w:history="1">
        <w:r w:rsidRPr="00627886">
          <w:rPr>
            <w:rStyle w:val="Hyperlink"/>
            <w:b/>
            <w:i/>
            <w:sz w:val="24"/>
          </w:rPr>
          <w:t>https://www.insideprivacy.com/financial-institutions/the-cnil-publishes-report-on-blockchain-and-the-gdpr/</w:t>
        </w:r>
      </w:hyperlink>
    </w:p>
    <w:p w14:paraId="3EF789A1" w14:textId="101B1D16" w:rsidR="00A74D45" w:rsidRDefault="00A74D45" w:rsidP="00A74D45">
      <w:pPr>
        <w:pStyle w:val="ListParagraph"/>
        <w:numPr>
          <w:ilvl w:val="0"/>
          <w:numId w:val="4"/>
        </w:numPr>
        <w:rPr>
          <w:b/>
          <w:i/>
          <w:sz w:val="24"/>
        </w:rPr>
      </w:pPr>
      <w:hyperlink r:id="rId8" w:history="1">
        <w:r w:rsidRPr="00627886">
          <w:rPr>
            <w:rStyle w:val="Hyperlink"/>
            <w:b/>
            <w:i/>
            <w:sz w:val="24"/>
          </w:rPr>
          <w:t>https://www2.deloitte.com/dl/en/pages/legal/articles/blockchain-datenschutzrecht.html</w:t>
        </w:r>
      </w:hyperlink>
    </w:p>
    <w:p w14:paraId="37E77A60" w14:textId="73BAA599" w:rsidR="00A74D45" w:rsidRDefault="00A74D45" w:rsidP="00A74D45">
      <w:pPr>
        <w:pStyle w:val="ListParagraph"/>
        <w:numPr>
          <w:ilvl w:val="0"/>
          <w:numId w:val="4"/>
        </w:numPr>
        <w:rPr>
          <w:b/>
          <w:i/>
          <w:sz w:val="24"/>
        </w:rPr>
      </w:pPr>
      <w:hyperlink r:id="rId9" w:history="1">
        <w:r w:rsidRPr="00627886">
          <w:rPr>
            <w:rStyle w:val="Hyperlink"/>
            <w:b/>
            <w:i/>
            <w:sz w:val="24"/>
          </w:rPr>
          <w:t>https://www.hlengage.com/_uploads/downloads/5425GuidetoblockchainV9FORWEB.pdf</w:t>
        </w:r>
      </w:hyperlink>
    </w:p>
    <w:p w14:paraId="7B378997" w14:textId="4A4EE1A4" w:rsidR="00A74D45" w:rsidRDefault="00A74D45" w:rsidP="00A74D45">
      <w:pPr>
        <w:pStyle w:val="ListParagraph"/>
        <w:numPr>
          <w:ilvl w:val="0"/>
          <w:numId w:val="4"/>
        </w:numPr>
        <w:rPr>
          <w:b/>
          <w:i/>
          <w:sz w:val="24"/>
        </w:rPr>
      </w:pPr>
      <w:hyperlink r:id="rId10" w:history="1">
        <w:r w:rsidRPr="00627886">
          <w:rPr>
            <w:rStyle w:val="Hyperlink"/>
            <w:b/>
            <w:i/>
            <w:sz w:val="24"/>
          </w:rPr>
          <w:t>https://medium.com/varanida/gdpr-results-impacts-and-the-blockchain-opportunity-d9f368d347aa</w:t>
        </w:r>
      </w:hyperlink>
      <w:r>
        <w:rPr>
          <w:b/>
          <w:i/>
          <w:sz w:val="24"/>
        </w:rPr>
        <w:t xml:space="preserve">  </w:t>
      </w:r>
    </w:p>
    <w:p w14:paraId="6D4438DB" w14:textId="56CFAF28" w:rsidR="00A74D45" w:rsidRDefault="00A74D45" w:rsidP="00A74D45">
      <w:pPr>
        <w:pStyle w:val="ListParagraph"/>
        <w:numPr>
          <w:ilvl w:val="0"/>
          <w:numId w:val="4"/>
        </w:numPr>
        <w:rPr>
          <w:b/>
          <w:i/>
          <w:sz w:val="24"/>
        </w:rPr>
      </w:pPr>
      <w:hyperlink r:id="rId11" w:history="1">
        <w:r w:rsidRPr="00627886">
          <w:rPr>
            <w:rStyle w:val="Hyperlink"/>
            <w:b/>
            <w:i/>
            <w:sz w:val="24"/>
          </w:rPr>
          <w:t>https://ec.europa.eu/commission/priorities/justice-and-fundamental-rights/data-protection/2018-reform-eu-data-protection-rules_en</w:t>
        </w:r>
      </w:hyperlink>
      <w:r>
        <w:rPr>
          <w:b/>
          <w:i/>
          <w:sz w:val="24"/>
        </w:rPr>
        <w:t xml:space="preserve"> </w:t>
      </w:r>
    </w:p>
    <w:p w14:paraId="787F702A" w14:textId="77777777" w:rsidR="00A74D45" w:rsidRPr="00A74D45" w:rsidRDefault="00A74D45" w:rsidP="00A74D45">
      <w:pPr>
        <w:pStyle w:val="ListParagraph"/>
        <w:numPr>
          <w:ilvl w:val="0"/>
          <w:numId w:val="4"/>
        </w:numPr>
        <w:rPr>
          <w:b/>
          <w:i/>
          <w:sz w:val="24"/>
        </w:rPr>
      </w:pPr>
    </w:p>
    <w:p w14:paraId="13BDAADA" w14:textId="2B1AAB09" w:rsidR="00A74D45" w:rsidRPr="00A74D45" w:rsidRDefault="00A74D45" w:rsidP="00EA30E0">
      <w:pPr>
        <w:rPr>
          <w:b/>
          <w:i/>
          <w:sz w:val="24"/>
        </w:rPr>
      </w:pPr>
      <w:r w:rsidRPr="00A74D45">
        <w:rPr>
          <w:b/>
          <w:i/>
          <w:sz w:val="24"/>
        </w:rPr>
        <w:t>#</w:t>
      </w:r>
      <w:r>
        <w:rPr>
          <w:b/>
          <w:i/>
          <w:sz w:val="24"/>
        </w:rPr>
        <w:t>Could create a timeline of the history of GDPR (</w:t>
      </w:r>
      <w:hyperlink r:id="rId12" w:history="1">
        <w:r w:rsidRPr="00627886">
          <w:rPr>
            <w:rStyle w:val="Hyperlink"/>
            <w:b/>
            <w:i/>
            <w:sz w:val="24"/>
          </w:rPr>
          <w:t>https://edps.europa.eu/data-protection/data-protection/legislation/history-general-data-protection-regulation_en</w:t>
        </w:r>
      </w:hyperlink>
      <w:r>
        <w:rPr>
          <w:b/>
          <w:i/>
          <w:sz w:val="24"/>
        </w:rPr>
        <w:t xml:space="preserve">) as part of our report (it would take up space!) </w:t>
      </w:r>
      <w:r w:rsidRPr="00A74D45">
        <w:rPr>
          <mc:AlternateContent>
            <mc:Choice Requires="w16se"/>
            <mc:Fallback>
              <w:rFonts w:ascii="Segoe UI Emoji" w:eastAsia="Segoe UI Emoji" w:hAnsi="Segoe UI Emoji" w:cs="Segoe UI Emoji"/>
            </mc:Fallback>
          </mc:AlternateContent>
          <w:b/>
          <w:i/>
          <w:sz w:val="24"/>
        </w:rPr>
        <mc:AlternateContent>
          <mc:Choice Requires="w16se">
            <w16se:symEx w16se:font="Segoe UI Emoji" w16se:char="1F60A"/>
          </mc:Choice>
          <mc:Fallback>
            <w:t>😊</w:t>
          </mc:Fallback>
        </mc:AlternateContent>
      </w:r>
      <w:r>
        <w:rPr>
          <w:b/>
          <w:i/>
          <w:sz w:val="24"/>
        </w:rPr>
        <w:t xml:space="preserve"> </w:t>
      </w:r>
    </w:p>
    <w:p w14:paraId="231E4B1A" w14:textId="5C33F6B7" w:rsidR="007854EE" w:rsidRPr="009F7A25" w:rsidRDefault="007854EE" w:rsidP="00EA30E0">
      <w:pPr>
        <w:rPr>
          <w:sz w:val="24"/>
        </w:rPr>
      </w:pPr>
    </w:p>
    <w:p w14:paraId="508CB541" w14:textId="4112523C" w:rsidR="007854EE" w:rsidRPr="009F7A25" w:rsidRDefault="007854EE" w:rsidP="00EA30E0">
      <w:pPr>
        <w:rPr>
          <w:sz w:val="24"/>
        </w:rPr>
      </w:pPr>
    </w:p>
    <w:p w14:paraId="76E9968B" w14:textId="7A414F06" w:rsidR="007854EE" w:rsidRPr="009F7A25" w:rsidRDefault="007854EE" w:rsidP="00EA30E0">
      <w:pPr>
        <w:rPr>
          <w:sz w:val="24"/>
        </w:rPr>
      </w:pPr>
    </w:p>
    <w:p w14:paraId="36819530" w14:textId="24451D98" w:rsidR="007854EE" w:rsidRPr="009F7A25" w:rsidRDefault="007854EE" w:rsidP="00EA30E0">
      <w:pPr>
        <w:rPr>
          <w:sz w:val="24"/>
        </w:rPr>
      </w:pPr>
    </w:p>
    <w:p w14:paraId="0A8D0AD1" w14:textId="5FE4A90C" w:rsidR="007854EE" w:rsidRPr="009F7A25" w:rsidRDefault="007854EE" w:rsidP="00EA30E0">
      <w:pPr>
        <w:rPr>
          <w:sz w:val="24"/>
        </w:rPr>
      </w:pPr>
    </w:p>
    <w:p w14:paraId="6236293E" w14:textId="65D7B0D4" w:rsidR="007854EE" w:rsidRPr="009F7A25" w:rsidRDefault="007854EE" w:rsidP="007854EE">
      <w:pPr>
        <w:pStyle w:val="ListParagraph"/>
        <w:numPr>
          <w:ilvl w:val="0"/>
          <w:numId w:val="3"/>
        </w:numPr>
        <w:rPr>
          <w:sz w:val="24"/>
        </w:rPr>
      </w:pPr>
      <w:hyperlink r:id="rId13" w:history="1">
        <w:r w:rsidRPr="009F7A25">
          <w:rPr>
            <w:rStyle w:val="Hyperlink"/>
            <w:sz w:val="24"/>
          </w:rPr>
          <w:t>http://europa.eu/rapid/press-release_IP-12-46_en.htm?locale=en</w:t>
        </w:r>
      </w:hyperlink>
    </w:p>
    <w:p w14:paraId="1EA7A8C8" w14:textId="4BED26DF" w:rsidR="00F62BC2" w:rsidRPr="009F7A25" w:rsidRDefault="00F62BC2" w:rsidP="007854EE">
      <w:pPr>
        <w:pStyle w:val="ListParagraph"/>
        <w:numPr>
          <w:ilvl w:val="0"/>
          <w:numId w:val="3"/>
        </w:numPr>
        <w:rPr>
          <w:sz w:val="24"/>
        </w:rPr>
      </w:pPr>
      <w:hyperlink r:id="rId14" w:history="1">
        <w:r w:rsidRPr="009F7A25">
          <w:rPr>
            <w:rStyle w:val="Hyperlink"/>
            <w:sz w:val="24"/>
          </w:rPr>
          <w:t>https://www.trunomi.com/eu-gdpr-compliance-trunomi/</w:t>
        </w:r>
      </w:hyperlink>
    </w:p>
    <w:p w14:paraId="067431C5" w14:textId="77777777" w:rsidR="00F62BC2" w:rsidRDefault="00F62BC2" w:rsidP="007854EE">
      <w:pPr>
        <w:pStyle w:val="ListParagraph"/>
        <w:numPr>
          <w:ilvl w:val="0"/>
          <w:numId w:val="3"/>
        </w:numPr>
      </w:pPr>
    </w:p>
    <w:sectPr w:rsidR="00F62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129E0"/>
    <w:multiLevelType w:val="multilevel"/>
    <w:tmpl w:val="8354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5B191C"/>
    <w:multiLevelType w:val="hybridMultilevel"/>
    <w:tmpl w:val="DB76EE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FEC7849"/>
    <w:multiLevelType w:val="hybridMultilevel"/>
    <w:tmpl w:val="C05E5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1785B79"/>
    <w:multiLevelType w:val="hybridMultilevel"/>
    <w:tmpl w:val="AF20E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E0"/>
    <w:rsid w:val="00617CC2"/>
    <w:rsid w:val="006742EA"/>
    <w:rsid w:val="007854EE"/>
    <w:rsid w:val="009F7A25"/>
    <w:rsid w:val="00A74D45"/>
    <w:rsid w:val="00EA30E0"/>
    <w:rsid w:val="00F6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46D3E"/>
  <w15:chartTrackingRefBased/>
  <w15:docId w15:val="{D607E2CE-38FE-4CDD-AE68-7ACAE4E5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0E0"/>
    <w:rPr>
      <w:color w:val="0563C1" w:themeColor="hyperlink"/>
      <w:u w:val="single"/>
    </w:rPr>
  </w:style>
  <w:style w:type="character" w:styleId="UnresolvedMention">
    <w:name w:val="Unresolved Mention"/>
    <w:basedOn w:val="DefaultParagraphFont"/>
    <w:uiPriority w:val="99"/>
    <w:semiHidden/>
    <w:unhideWhenUsed/>
    <w:rsid w:val="00EA30E0"/>
    <w:rPr>
      <w:color w:val="605E5C"/>
      <w:shd w:val="clear" w:color="auto" w:fill="E1DFDD"/>
    </w:rPr>
  </w:style>
  <w:style w:type="paragraph" w:styleId="ListParagraph">
    <w:name w:val="List Paragraph"/>
    <w:basedOn w:val="Normal"/>
    <w:uiPriority w:val="34"/>
    <w:qFormat/>
    <w:rsid w:val="00EA3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25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deloitte.com/dl/en/pages/legal/articles/blockchain-datenschutzrecht.html" TargetMode="External"/><Relationship Id="rId13" Type="http://schemas.openxmlformats.org/officeDocument/2006/relationships/hyperlink" Target="http://europa.eu/rapid/press-release_IP-12-46_en.htm?locale=en" TargetMode="External"/><Relationship Id="rId3" Type="http://schemas.openxmlformats.org/officeDocument/2006/relationships/settings" Target="settings.xml"/><Relationship Id="rId7" Type="http://schemas.openxmlformats.org/officeDocument/2006/relationships/hyperlink" Target="https://www.insideprivacy.com/financial-institutions/the-cnil-publishes-report-on-blockchain-and-the-gdpr/" TargetMode="External"/><Relationship Id="rId12" Type="http://schemas.openxmlformats.org/officeDocument/2006/relationships/hyperlink" Target="https://edps.europa.eu/data-protection/data-protection/legislation/history-general-data-protection-regulation_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nil.fr/en/blockchain-and-gdpr-solutions-responsible-use-blockchain-context-personal-data" TargetMode="External"/><Relationship Id="rId11" Type="http://schemas.openxmlformats.org/officeDocument/2006/relationships/hyperlink" Target="https://ec.europa.eu/commission/priorities/justice-and-fundamental-rights/data-protection/2018-reform-eu-data-protection-rules_en" TargetMode="External"/><Relationship Id="rId5" Type="http://schemas.openxmlformats.org/officeDocument/2006/relationships/hyperlink" Target="https://cointelegraph.com/news/gdpr-and-blockchain-is-the-new-eu-data-protection-regulation-a-threat-or-an-incentive" TargetMode="External"/><Relationship Id="rId15" Type="http://schemas.openxmlformats.org/officeDocument/2006/relationships/fontTable" Target="fontTable.xml"/><Relationship Id="rId10" Type="http://schemas.openxmlformats.org/officeDocument/2006/relationships/hyperlink" Target="https://medium.com/varanida/gdpr-results-impacts-and-the-blockchain-opportunity-d9f368d347aa" TargetMode="External"/><Relationship Id="rId4" Type="http://schemas.openxmlformats.org/officeDocument/2006/relationships/webSettings" Target="webSettings.xml"/><Relationship Id="rId9" Type="http://schemas.openxmlformats.org/officeDocument/2006/relationships/hyperlink" Target="https://www.hlengage.com/_uploads/downloads/5425GuidetoblockchainV9FORWEB.pdf" TargetMode="External"/><Relationship Id="rId14" Type="http://schemas.openxmlformats.org/officeDocument/2006/relationships/hyperlink" Target="https://www.trunomi.com/eu-gdpr-compliance-truno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 Pafford</dc:creator>
  <cp:keywords/>
  <dc:description/>
  <cp:lastModifiedBy>Jodi Pafford</cp:lastModifiedBy>
  <cp:revision>1</cp:revision>
  <dcterms:created xsi:type="dcterms:W3CDTF">2019-03-12T16:47:00Z</dcterms:created>
  <dcterms:modified xsi:type="dcterms:W3CDTF">2019-03-12T17:42:00Z</dcterms:modified>
</cp:coreProperties>
</file>