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2D117">
      <w:pPr>
        <w:spacing w:line="360" w:lineRule="auto"/>
        <w:jc w:val="center"/>
        <w:rPr>
          <w:rFonts w:hint="default" w:ascii="Times New Roman Regular" w:hAnsi="Times New Roman Regular" w:eastAsia="宋体" w:cs="Times New Roman Regular"/>
          <w:b w:val="0"/>
          <w:bCs/>
          <w:sz w:val="26"/>
          <w:szCs w:val="26"/>
          <w:lang w:bidi="ar"/>
        </w:rPr>
      </w:pPr>
    </w:p>
    <w:p w14:paraId="37EB33F2">
      <w:pPr>
        <w:spacing w:line="360" w:lineRule="auto"/>
        <w:jc w:val="center"/>
        <w:rPr>
          <w:rFonts w:hint="default" w:ascii="Times New Roman Regular" w:hAnsi="Times New Roman Regular" w:cs="Times New Roman Regular"/>
          <w:b w:val="0"/>
          <w:bCs/>
          <w:sz w:val="26"/>
          <w:szCs w:val="26"/>
        </w:rPr>
      </w:pPr>
      <w:r>
        <w:rPr>
          <w:rFonts w:hint="default" w:ascii="Times New Roman Regular" w:hAnsi="Times New Roman Regular" w:eastAsia="宋体" w:cs="Times New Roman Regular"/>
          <w:b w:val="0"/>
          <w:bCs/>
          <w:sz w:val="26"/>
          <w:szCs w:val="26"/>
          <w:lang w:bidi="ar"/>
        </w:rPr>
        <w:t>HANOI UNIVERSITY</w:t>
      </w:r>
    </w:p>
    <w:p w14:paraId="55349910">
      <w:pPr>
        <w:spacing w:line="360" w:lineRule="auto"/>
        <w:jc w:val="center"/>
        <w:rPr>
          <w:rFonts w:hint="default" w:ascii="Times New Roman Regular" w:hAnsi="Times New Roman Regular" w:eastAsia="宋体" w:cs="Times New Roman Regular"/>
          <w:b w:val="0"/>
          <w:bCs/>
          <w:sz w:val="26"/>
          <w:szCs w:val="26"/>
          <w:lang w:bidi="ar"/>
        </w:rPr>
      </w:pPr>
      <w:r>
        <w:rPr>
          <w:rFonts w:hint="default" w:ascii="Times New Roman Bold" w:hAnsi="Times New Roman Bold" w:eastAsia="宋体" w:cs="Times New Roman Bold"/>
          <w:b/>
          <w:bCs w:val="0"/>
          <w:sz w:val="26"/>
          <w:szCs w:val="26"/>
          <w:lang w:bidi="ar"/>
        </w:rPr>
        <w:t>FACULTY OF INFORMATION TECHNOLOGY</w:t>
      </w:r>
    </w:p>
    <w:p w14:paraId="7F494CEB">
      <w:pPr>
        <w:spacing w:line="360" w:lineRule="auto"/>
        <w:jc w:val="both"/>
        <w:rPr>
          <w:rFonts w:ascii="Times New Roman" w:hAnsi="Times New Roman" w:cs="Times New Roman"/>
          <w:lang w:val="vi-VN"/>
        </w:rPr>
      </w:pPr>
    </w:p>
    <w:p w14:paraId="7155F0AB">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1206500" cy="1249680"/>
            <wp:effectExtent l="0" t="0" r="12700" b="20320"/>
            <wp:docPr id="180738992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9920" name="Picture 2" descr="IMG_2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06500" cy="1249680"/>
                    </a:xfrm>
                    <a:prstGeom prst="rect">
                      <a:avLst/>
                    </a:prstGeom>
                    <a:noFill/>
                    <a:ln>
                      <a:noFill/>
                    </a:ln>
                  </pic:spPr>
                </pic:pic>
              </a:graphicData>
            </a:graphic>
          </wp:inline>
        </w:drawing>
      </w:r>
    </w:p>
    <w:p w14:paraId="13233068">
      <w:pPr>
        <w:spacing w:line="360" w:lineRule="auto"/>
        <w:jc w:val="both"/>
        <w:rPr>
          <w:rFonts w:hint="default" w:ascii="Times New Roman" w:hAnsi="Times New Roman" w:cs="Times New Roman"/>
          <w:b/>
          <w:bCs/>
          <w:sz w:val="40"/>
          <w:szCs w:val="40"/>
          <w:lang w:val="vi-VN"/>
        </w:rPr>
      </w:pPr>
    </w:p>
    <w:p w14:paraId="654FF8A5">
      <w:pPr>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ADVANCED TOPIC IN INFORMATION TECHNOLOGY </w:t>
      </w:r>
    </w:p>
    <w:p w14:paraId="2732FBBC">
      <w:pPr>
        <w:spacing w:line="360" w:lineRule="auto"/>
        <w:jc w:val="center"/>
        <w:rPr>
          <w:rFonts w:ascii="Times New Roman" w:hAnsi="Times New Roman" w:cs="Times New Roman"/>
          <w:b/>
          <w:bCs/>
          <w:sz w:val="32"/>
          <w:szCs w:val="32"/>
        </w:rPr>
      </w:pPr>
      <w:r>
        <w:rPr>
          <w:rFonts w:hint="default" w:ascii="Times New Roman" w:hAnsi="Times New Roman" w:cs="Times New Roman"/>
          <w:b/>
          <w:bCs/>
          <w:sz w:val="32"/>
          <w:szCs w:val="32"/>
          <w:lang w:val="vi-VN"/>
        </w:rPr>
        <w:t>FINAL</w:t>
      </w:r>
      <w:r>
        <w:rPr>
          <w:rFonts w:ascii="Times New Roman" w:hAnsi="Times New Roman" w:cs="Times New Roman"/>
          <w:b/>
          <w:bCs/>
          <w:sz w:val="32"/>
          <w:szCs w:val="32"/>
        </w:rPr>
        <w:t xml:space="preserve"> REPORT</w:t>
      </w:r>
    </w:p>
    <w:p w14:paraId="077826BF">
      <w:pPr>
        <w:spacing w:line="360" w:lineRule="auto"/>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lang w:val="vi-VN"/>
        </w:rPr>
        <w:t xml:space="preserve">HEALTHCARE </w:t>
      </w:r>
      <w:r>
        <w:rPr>
          <w:rFonts w:hint="default" w:ascii="Times New Roman Bold" w:hAnsi="Times New Roman Bold" w:cs="Times New Roman Bold"/>
          <w:b/>
          <w:bCs/>
          <w:sz w:val="36"/>
          <w:szCs w:val="36"/>
        </w:rPr>
        <w:t>DIABETES RISK PREDICTION</w:t>
      </w:r>
    </w:p>
    <w:p w14:paraId="2A142F96">
      <w:pPr>
        <w:spacing w:line="360" w:lineRule="auto"/>
        <w:jc w:val="both"/>
        <w:rPr>
          <w:rFonts w:ascii="Times New Roman" w:hAnsi="Times New Roman" w:cs="Times New Roman"/>
        </w:rPr>
      </w:pPr>
    </w:p>
    <w:p w14:paraId="3A6A94B2">
      <w:pPr>
        <w:spacing w:line="360" w:lineRule="auto"/>
        <w:ind w:left="2400" w:leftChars="0" w:firstLine="1037" w:firstLineChars="370"/>
        <w:rPr>
          <w:rFonts w:ascii="Times New Roman" w:hAnsi="Times New Roman" w:eastAsia="宋体" w:cs="Times New Roman"/>
          <w:sz w:val="28"/>
          <w:szCs w:val="28"/>
        </w:rPr>
      </w:pPr>
      <w:r>
        <w:rPr>
          <w:rFonts w:ascii="Times New Roman" w:hAnsi="Times New Roman" w:eastAsia="宋体" w:cs="Times New Roman"/>
          <w:b/>
          <w:bCs/>
          <w:sz w:val="28"/>
          <w:szCs w:val="28"/>
          <w:lang w:val="vi-VN"/>
        </w:rPr>
        <w:t xml:space="preserve">Course: </w:t>
      </w:r>
      <w:r>
        <w:rPr>
          <w:rFonts w:hint="default" w:ascii="Times New Roman" w:hAnsi="Times New Roman" w:eastAsia="宋体" w:cs="Times New Roman"/>
          <w:b w:val="0"/>
          <w:bCs w:val="0"/>
          <w:sz w:val="28"/>
          <w:szCs w:val="28"/>
          <w:lang w:val="vi-VN"/>
        </w:rPr>
        <w:t>Advanced Topic in IT</w:t>
      </w:r>
      <w:r>
        <w:rPr>
          <w:rFonts w:ascii="Times New Roman" w:hAnsi="Times New Roman" w:eastAsia="宋体" w:cs="Times New Roman"/>
          <w:sz w:val="28"/>
          <w:szCs w:val="28"/>
        </w:rPr>
        <w:t xml:space="preserve"> </w:t>
      </w:r>
    </w:p>
    <w:p w14:paraId="78B0C6E1">
      <w:pPr>
        <w:spacing w:line="360" w:lineRule="auto"/>
        <w:ind w:left="2400" w:leftChars="0" w:firstLine="1037" w:firstLineChars="370"/>
        <w:rPr>
          <w:rFonts w:hint="default" w:ascii="Times New Roman" w:hAnsi="Times New Roman" w:eastAsia="宋体" w:cs="Times New Roman"/>
          <w:b w:val="0"/>
          <w:bCs w:val="0"/>
          <w:sz w:val="28"/>
          <w:szCs w:val="28"/>
          <w:lang w:val="vi-VN"/>
        </w:rPr>
      </w:pPr>
      <w:r>
        <w:rPr>
          <w:rFonts w:hint="default" w:ascii="Times New Roman Bold" w:hAnsi="Times New Roman Bold" w:eastAsia="宋体" w:cs="Times New Roman Bold"/>
          <w:b/>
          <w:bCs/>
          <w:sz w:val="28"/>
          <w:szCs w:val="28"/>
          <w:lang w:val="vi-VN"/>
        </w:rPr>
        <w:t xml:space="preserve">Class: </w:t>
      </w:r>
      <w:r>
        <w:rPr>
          <w:rFonts w:hint="default" w:ascii="Times New Roman" w:hAnsi="Times New Roman Bold" w:eastAsia="宋体" w:cs="Times New Roman Bold"/>
          <w:b w:val="0"/>
          <w:bCs w:val="0"/>
          <w:sz w:val="28"/>
          <w:szCs w:val="28"/>
          <w:lang w:val="vi-VN"/>
        </w:rPr>
        <w:t>ATI-CLC 02</w:t>
      </w:r>
    </w:p>
    <w:p w14:paraId="3FF2818C">
      <w:pPr>
        <w:spacing w:line="360" w:lineRule="auto"/>
        <w:ind w:left="2400" w:leftChars="0" w:firstLine="1037" w:firstLineChars="370"/>
        <w:rPr>
          <w:rFonts w:hint="default" w:ascii="Times New Roman" w:hAnsi="Times New Roman" w:eastAsia="宋体" w:cs="Times New Roman"/>
          <w:sz w:val="28"/>
          <w:szCs w:val="28"/>
          <w:lang w:val="vi-VN" w:bidi="ar"/>
        </w:rPr>
      </w:pPr>
      <w:r>
        <w:rPr>
          <w:rStyle w:val="12"/>
          <w:rFonts w:ascii="Times New Roman" w:hAnsi="Times New Roman" w:eastAsia="宋体" w:cs="Times New Roman"/>
          <w:sz w:val="28"/>
          <w:szCs w:val="28"/>
          <w:lang w:bidi="ar"/>
        </w:rPr>
        <w:t xml:space="preserve">Instructor: </w:t>
      </w:r>
      <w:r>
        <w:rPr>
          <w:rStyle w:val="12"/>
          <w:rFonts w:hint="default" w:ascii="Times New Roman" w:hAnsi="Times New Roman" w:eastAsia="宋体" w:cs="Times New Roman"/>
          <w:b w:val="0"/>
          <w:bCs w:val="0"/>
          <w:sz w:val="28"/>
          <w:szCs w:val="28"/>
          <w:lang w:val="vi-VN" w:bidi="ar"/>
        </w:rPr>
        <w:t>PhD. Nguyen Xuan Thang</w:t>
      </w:r>
    </w:p>
    <w:p w14:paraId="1B7D8AA5">
      <w:pPr>
        <w:spacing w:line="360" w:lineRule="auto"/>
        <w:ind w:left="2400" w:leftChars="0" w:firstLine="1037" w:firstLineChars="370"/>
        <w:rPr>
          <w:rFonts w:hint="default" w:ascii="Times New Roman" w:hAnsi="Times New Roman" w:eastAsia="宋体" w:cs="Times New Roman"/>
          <w:sz w:val="28"/>
          <w:szCs w:val="28"/>
          <w:lang w:val="vi-VN"/>
        </w:rPr>
      </w:pPr>
      <w:r>
        <w:rPr>
          <w:rFonts w:ascii="Times New Roman" w:hAnsi="Times New Roman" w:eastAsia="宋体" w:cs="Times New Roman"/>
          <w:b/>
          <w:bCs/>
          <w:sz w:val="28"/>
          <w:szCs w:val="28"/>
          <w:lang w:val="vi-VN"/>
        </w:rPr>
        <w:t>Group</w:t>
      </w:r>
      <w:r>
        <w:rPr>
          <w:rFonts w:ascii="Times New Roman" w:hAnsi="Times New Roman" w:eastAsia="宋体" w:cs="Times New Roman"/>
          <w:b/>
          <w:bCs/>
          <w:sz w:val="28"/>
          <w:szCs w:val="28"/>
        </w:rPr>
        <w:t xml:space="preserve"> </w:t>
      </w:r>
      <w:r>
        <w:rPr>
          <w:rFonts w:hint="default" w:ascii="Times New Roman" w:hAnsi="Times New Roman" w:eastAsia="宋体" w:cs="Times New Roman"/>
          <w:b/>
          <w:bCs/>
          <w:sz w:val="28"/>
          <w:szCs w:val="28"/>
          <w:lang w:val="vi-VN"/>
        </w:rPr>
        <w:t>16</w:t>
      </w:r>
      <w:r>
        <w:rPr>
          <w:rFonts w:ascii="Times New Roman" w:hAnsi="Times New Roman" w:eastAsia="宋体" w:cs="Times New Roman"/>
          <w:b/>
          <w:bCs/>
          <w:sz w:val="28"/>
          <w:szCs w:val="28"/>
          <w:lang w:val="vi-VN"/>
        </w:rPr>
        <w:t>:</w:t>
      </w:r>
      <w:r>
        <w:rPr>
          <w:rFonts w:ascii="Times New Roman" w:hAnsi="Times New Roman" w:eastAsia="宋体" w:cs="Times New Roman"/>
          <w:sz w:val="28"/>
          <w:szCs w:val="28"/>
        </w:rPr>
        <w:t xml:space="preserve"> </w:t>
      </w:r>
      <w:r>
        <w:rPr>
          <w:rFonts w:hint="default" w:ascii="Times New Roman" w:hAnsi="Times New Roman" w:eastAsia="宋体" w:cs="Times New Roman"/>
          <w:sz w:val="28"/>
          <w:szCs w:val="28"/>
          <w:lang w:val="vi-VN"/>
        </w:rPr>
        <w:t xml:space="preserve"> 2201140003 - Khuc Ngoc Anhs</w:t>
      </w:r>
    </w:p>
    <w:p w14:paraId="1E90BD08">
      <w:pPr>
        <w:tabs>
          <w:tab w:val="left" w:pos="3200"/>
        </w:tabs>
        <w:spacing w:line="360" w:lineRule="auto"/>
        <w:ind w:left="2400" w:leftChars="0" w:firstLine="2399" w:firstLineChars="857"/>
        <w:rPr>
          <w:rFonts w:hint="default" w:ascii="Times New Roman" w:hAnsi="Times New Roman" w:eastAsia="宋体" w:cs="Times New Roman"/>
          <w:sz w:val="28"/>
          <w:szCs w:val="28"/>
          <w:lang w:val="vi-VN"/>
        </w:rPr>
      </w:pPr>
      <w:r>
        <w:rPr>
          <w:rFonts w:hint="default" w:ascii="Times New Roman" w:hAnsi="Times New Roman" w:eastAsia="宋体" w:cs="Times New Roman"/>
          <w:sz w:val="28"/>
          <w:szCs w:val="28"/>
          <w:lang w:val="vi-VN"/>
        </w:rPr>
        <w:t>2201140048 - Le Thi Khanh Linh</w:t>
      </w:r>
    </w:p>
    <w:p w14:paraId="72BBDF68">
      <w:pPr>
        <w:tabs>
          <w:tab w:val="left" w:pos="3200"/>
        </w:tabs>
        <w:spacing w:line="360" w:lineRule="auto"/>
        <w:ind w:left="2400" w:leftChars="0" w:firstLine="2399" w:firstLineChars="857"/>
        <w:rPr>
          <w:rFonts w:hint="default" w:ascii="Times New Roman" w:hAnsi="Times New Roman" w:eastAsia="宋体" w:cs="Times New Roman"/>
          <w:sz w:val="28"/>
          <w:szCs w:val="28"/>
          <w:lang w:val="vi-VN"/>
        </w:rPr>
      </w:pPr>
      <w:r>
        <w:rPr>
          <w:rFonts w:hint="default" w:ascii="Times New Roman" w:hAnsi="Times New Roman" w:eastAsia="宋体" w:cs="Times New Roman"/>
          <w:sz w:val="28"/>
          <w:szCs w:val="28"/>
          <w:lang w:val="vi-VN"/>
        </w:rPr>
        <w:t>2201140064 - Tran Thanh Phuc</w:t>
      </w:r>
    </w:p>
    <w:p w14:paraId="7E3E5CD8">
      <w:pPr>
        <w:spacing w:line="360" w:lineRule="auto"/>
      </w:pPr>
    </w:p>
    <w:p w14:paraId="3FA5A5F6">
      <w:pPr>
        <w:spacing w:line="360" w:lineRule="auto"/>
      </w:pPr>
    </w:p>
    <w:p w14:paraId="09E84B22">
      <w:pPr>
        <w:spacing w:line="360" w:lineRule="auto"/>
        <w:jc w:val="center"/>
        <w:rPr>
          <w:rFonts w:hint="default" w:ascii="Times New Roman" w:hAnsi="宋体" w:eastAsia="宋体"/>
          <w:sz w:val="24"/>
          <w:szCs w:val="24"/>
          <w:lang w:val="vi-VN"/>
        </w:rPr>
      </w:pPr>
      <w:r>
        <w:rPr>
          <w:rFonts w:hint="default" w:ascii="Times New Roman" w:hAnsi="Times New Roman" w:eastAsia="宋体" w:cs="Times New Roman"/>
          <w:sz w:val="28"/>
          <w:szCs w:val="28"/>
          <w:lang w:val="vi-VN" w:bidi="ar"/>
        </w:rPr>
        <w:t>December</w:t>
      </w:r>
      <w:r>
        <w:rPr>
          <w:rFonts w:ascii="Times New Roman" w:hAnsi="Times New Roman" w:eastAsia="宋体" w:cs="Times New Roman"/>
          <w:sz w:val="28"/>
          <w:szCs w:val="28"/>
          <w:lang w:bidi="ar"/>
        </w:rPr>
        <w:t xml:space="preserve"> </w:t>
      </w:r>
      <w:r>
        <w:rPr>
          <w:rFonts w:hint="default" w:ascii="Times New Roman" w:hAnsi="Times New Roman" w:eastAsia="宋体" w:cs="Times New Roman"/>
          <w:sz w:val="28"/>
          <w:szCs w:val="28"/>
          <w:lang w:val="vi-VN" w:bidi="ar"/>
        </w:rPr>
        <w:t>22</w:t>
      </w:r>
      <w:r>
        <w:rPr>
          <w:rFonts w:ascii="Times New Roman" w:hAnsi="Times New Roman" w:eastAsia="宋体" w:cs="Times New Roman"/>
          <w:sz w:val="28"/>
          <w:szCs w:val="28"/>
          <w:vertAlign w:val="superscript"/>
          <w:lang w:bidi="ar"/>
        </w:rPr>
        <w:t>th</w:t>
      </w:r>
      <w:r>
        <w:rPr>
          <w:rFonts w:ascii="Times New Roman" w:hAnsi="Times New Roman" w:eastAsia="宋体" w:cs="Times New Roman"/>
          <w:sz w:val="28"/>
          <w:szCs w:val="28"/>
          <w:lang w:bidi="ar"/>
        </w:rPr>
        <w:t>, 202</w:t>
      </w:r>
      <w:r>
        <w:rPr>
          <w:rFonts w:hint="default" w:ascii="Times New Roman" w:hAnsi="Times New Roman" w:eastAsia="宋体" w:cs="Times New Roman"/>
          <w:sz w:val="28"/>
          <w:szCs w:val="28"/>
          <w:lang w:val="vi-VN" w:bidi="ar"/>
        </w:rPr>
        <w:t>5</w:t>
      </w:r>
    </w:p>
    <w:p w14:paraId="64B3F2BF">
      <w:pPr>
        <w:spacing w:line="360" w:lineRule="auto"/>
        <w:sectPr>
          <w:pgSz w:w="11906" w:h="16838"/>
          <w:pgMar w:top="1440" w:right="936" w:bottom="1440" w:left="1656" w:header="720" w:footer="720" w:gutter="0"/>
          <w:pgBorders w:display="firstPage">
            <w:top w:val="thickThinSmallGap" w:color="auto" w:sz="18" w:space="1"/>
            <w:left w:val="thickThinSmallGap" w:color="auto" w:sz="18" w:space="4"/>
            <w:bottom w:val="thickThinSmallGap" w:color="auto" w:sz="18" w:space="1"/>
            <w:right w:val="thickThinSmallGap" w:color="auto" w:sz="18" w:space="4"/>
          </w:pgBorders>
          <w:cols w:space="720" w:num="1"/>
          <w:docGrid w:linePitch="360" w:charSpace="0"/>
        </w:sectPr>
      </w:pPr>
      <w:bookmarkStart w:id="16" w:name="_GoBack"/>
      <w:bookmarkEnd w:id="16"/>
    </w:p>
    <w:p w14:paraId="26900CB6">
      <w:pPr>
        <w:spacing w:line="360" w:lineRule="auto"/>
      </w:pPr>
    </w:p>
    <w:sdt>
      <w:sdtPr>
        <w:rPr>
          <w:rFonts w:hint="default" w:ascii="Times New Roman Bold" w:hAnsi="Times New Roman Bold" w:eastAsia="宋体" w:cs="Times New Roman Bold"/>
          <w:b/>
          <w:bCs/>
          <w:kern w:val="2"/>
          <w:sz w:val="28"/>
          <w:szCs w:val="28"/>
          <w:lang w:val="en-US" w:eastAsia="zh-CN" w:bidi="ar-SA"/>
          <w14:ligatures w14:val="standardContextual"/>
        </w:rPr>
        <w:id w:val="816741433"/>
        <w15:color w:val="DBDBDB"/>
        <w:docPartObj>
          <w:docPartGallery w:val="Table of Contents"/>
          <w:docPartUnique/>
        </w:docPartObj>
      </w:sdtPr>
      <w:sdtEndPr>
        <w:rPr>
          <w:rFonts w:hint="default" w:asciiTheme="minorHAnsi" w:hAnsiTheme="minorHAnsi" w:eastAsiaTheme="minorEastAsia" w:cstheme="minorBidi"/>
          <w:b/>
          <w:bCs/>
          <w:kern w:val="2"/>
          <w:sz w:val="24"/>
          <w:szCs w:val="24"/>
          <w:lang w:val="en-US" w:eastAsia="zh-CN" w:bidi="ar-SA"/>
          <w14:ligatures w14:val="standardContextual"/>
        </w:rPr>
      </w:sdtEndPr>
      <w:sdtContent>
        <w:p w14:paraId="3C810E2D">
          <w:pPr>
            <w:spacing w:before="0" w:beforeLines="0" w:after="0" w:afterLines="0" w:line="360" w:lineRule="auto"/>
            <w:ind w:left="0" w:leftChars="0" w:right="0" w:rightChars="0" w:firstLine="0" w:firstLineChars="0"/>
            <w:jc w:val="center"/>
            <w:rPr>
              <w:rFonts w:hint="default" w:ascii="Times New Roman Bold" w:hAnsi="Times New Roman Bold" w:cs="Times New Roman Bold"/>
              <w:b/>
              <w:bCs/>
              <w:sz w:val="28"/>
              <w:szCs w:val="28"/>
              <w:lang w:val="vi-VN"/>
            </w:rPr>
          </w:pPr>
          <w:r>
            <w:rPr>
              <w:rFonts w:hint="default" w:ascii="Times New Roman Bold" w:hAnsi="Times New Roman Bold" w:eastAsia="宋体" w:cs="Times New Roman Bold"/>
              <w:b/>
              <w:bCs/>
              <w:kern w:val="2"/>
              <w:sz w:val="28"/>
              <w:szCs w:val="28"/>
              <w:lang w:val="vi-VN" w:eastAsia="zh-CN" w:bidi="ar-SA"/>
              <w14:ligatures w14:val="standardContextual"/>
            </w:rPr>
            <w:t>TABLE OF CONTENTS</w:t>
          </w:r>
        </w:p>
        <w:p w14:paraId="7B246617">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TOC \o "1-2" \h \u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_Toc1966261893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 Introduction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_Toc1966261893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1B8B1163">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_Toc1485275615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 Dataset Overview and Experimental Setup</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_Toc1485275615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CB2305F">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_Toc677348577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2.1. Dataset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_Toc677348577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4A7F2D49">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_Toc386720892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2.2. Distribution of Key Health Indicators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_Toc386720892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14AEDB62">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_Toc1332516022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2.3. Correlation Analysis of Features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_Toc1332516022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459E80BF">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_Toc1637310838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 Performance Analysis of the MLP Model</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_Toc1637310838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7950EED">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_Toc427801608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3.1. Overall Performance of the MLP Model</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_Toc427801608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73C49B8D">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_Toc286375500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3.2. Confusion Matrix Analysis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_Toc286375500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0072E2CB">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_Toc602175573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3.3. ROC Curve Analysis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_Toc602175573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8</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544C7C0">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_Toc1821910747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3.4. Threshold Tuning Analysis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_Toc1821910747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9</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309DC878">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_Toc2032085903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 Comparison with Baseline Models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_Toc2032085903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10</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7C4BB5B">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_Toc1835333480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4.1. Overall Performance Comparison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_Toc1835333480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10</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5AD4303F">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_Toc2142176499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4.2. Class-wise Performance Comparison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_Toc2142176499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11</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B7789C9">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_Toc997076738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4.3. Discussion on Model Suitability for Healthcare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_Toc997076738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11</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3912F29F">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_Toc1053838025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5. Discussion and Limitations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_Toc1053838025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11</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02A875A6">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_Toc1558049366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 Conclusion and Future Directions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_Toc1558049366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12</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72BAEF2F">
          <w:pPr>
            <w:spacing w:line="360" w:lineRule="auto"/>
            <w:rPr>
              <w:rFonts w:asciiTheme="minorHAnsi" w:hAnsiTheme="minorHAnsi" w:eastAsiaTheme="minorEastAsia" w:cstheme="minorBidi"/>
              <w:b/>
              <w:kern w:val="2"/>
              <w:sz w:val="24"/>
              <w:szCs w:val="24"/>
              <w:lang w:val="en-US" w:eastAsia="zh-CN" w:bidi="ar-SA"/>
              <w14:ligatures w14:val="standardContextual"/>
            </w:rPr>
          </w:pPr>
          <w:r>
            <w:rPr>
              <w:rFonts w:hint="default" w:ascii="Times New Roman" w:hAnsi="Times New Roman" w:cs="Times New Roman"/>
              <w:b w:val="0"/>
              <w:bCs w:val="0"/>
              <w:sz w:val="24"/>
              <w:szCs w:val="24"/>
            </w:rPr>
            <w:fldChar w:fldCharType="end"/>
          </w:r>
        </w:p>
      </w:sdtContent>
    </w:sdt>
    <w:p w14:paraId="210FD209">
      <w:pPr>
        <w:spacing w:line="360" w:lineRule="auto"/>
        <w:rPr>
          <w:rFonts w:asciiTheme="minorHAnsi" w:hAnsiTheme="minorHAnsi" w:eastAsiaTheme="minorEastAsia" w:cstheme="minorBidi"/>
          <w:b/>
          <w:kern w:val="2"/>
          <w:sz w:val="24"/>
          <w:szCs w:val="24"/>
          <w:lang w:val="en-US" w:eastAsia="zh-CN" w:bidi="ar-SA"/>
          <w14:ligatures w14:val="standardContextual"/>
        </w:rPr>
      </w:pPr>
    </w:p>
    <w:p w14:paraId="0C04460D">
      <w:pPr>
        <w:spacing w:line="360" w:lineRule="auto"/>
      </w:pPr>
    </w:p>
    <w:p w14:paraId="14D7F3BA">
      <w:pPr>
        <w:spacing w:line="360" w:lineRule="auto"/>
      </w:pPr>
    </w:p>
    <w:p w14:paraId="576D74D2">
      <w:pPr>
        <w:spacing w:line="360" w:lineRule="auto"/>
      </w:pPr>
    </w:p>
    <w:p w14:paraId="493A4E3F">
      <w:pPr>
        <w:spacing w:line="360" w:lineRule="auto"/>
      </w:pPr>
      <w:r>
        <w:br w:type="textWrapping"/>
      </w:r>
    </w:p>
    <w:p w14:paraId="32B8523E">
      <w:pPr>
        <w:spacing w:line="360" w:lineRule="auto"/>
      </w:pPr>
    </w:p>
    <w:p w14:paraId="61CFECD7">
      <w:pPr>
        <w:spacing w:line="360" w:lineRule="auto"/>
        <w:jc w:val="center"/>
        <w:rPr>
          <w:rFonts w:hint="default" w:ascii="Times New Roman Bold" w:hAnsi="Times New Roman Bold" w:cs="Times New Roman Bold"/>
          <w:b/>
          <w:bCs/>
          <w:sz w:val="28"/>
          <w:szCs w:val="28"/>
          <w:lang w:val="vi-VN"/>
        </w:rPr>
      </w:pPr>
      <w:r>
        <w:rPr>
          <w:rFonts w:hint="default" w:ascii="Times New Roman Bold" w:hAnsi="Times New Roman Bold" w:cs="Times New Roman Bold"/>
          <w:b/>
          <w:bCs/>
          <w:sz w:val="28"/>
          <w:szCs w:val="28"/>
          <w:lang w:val="vi-VN"/>
        </w:rPr>
        <w:t>LIST OF FIGURES</w:t>
      </w:r>
    </w:p>
    <w:p w14:paraId="765CA466">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1: Target Distribution: Diabetes Binary</w:t>
      </w:r>
      <w:r>
        <w:rPr>
          <w:rFonts w:hint="default" w:ascii="Times New Roman" w:hAnsi="Times New Roman Regular" w:cs="Times New Roman Regular"/>
          <w:lang w:val="vi-VN"/>
        </w:rPr>
        <w:t>..............................................................................4</w:t>
      </w:r>
    </w:p>
    <w:p w14:paraId="2CE5AF97">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2: Distribution of BMI</w:t>
      </w:r>
      <w:r>
        <w:rPr>
          <w:rFonts w:hint="default" w:ascii="Times New Roman" w:hAnsi="Times New Roman Regular" w:cs="Times New Roman Regular"/>
          <w:lang w:val="vi-VN"/>
        </w:rPr>
        <w:t>.........................................................................................................4</w:t>
      </w:r>
    </w:p>
    <w:p w14:paraId="7D522DB8">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3: Distribution of Age</w:t>
      </w:r>
      <w:r>
        <w:rPr>
          <w:rFonts w:hint="default" w:ascii="Times New Roman" w:hAnsi="Times New Roman Regular" w:cs="Times New Roman Regular"/>
          <w:lang w:val="vi-VN"/>
        </w:rPr>
        <w:t>..........................................................................................................5</w:t>
      </w:r>
    </w:p>
    <w:p w14:paraId="63503DEE">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4: Distribution of GenHlth</w:t>
      </w:r>
      <w:r>
        <w:rPr>
          <w:rFonts w:hint="default" w:ascii="Times New Roman" w:hAnsi="Times New Roman Regular" w:cs="Times New Roman Regular"/>
          <w:lang w:val="vi-VN"/>
        </w:rPr>
        <w:t>...................................................................................................5</w:t>
      </w:r>
    </w:p>
    <w:p w14:paraId="45542A60">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5: Correlation Matrix of Numeric Features</w:t>
      </w:r>
      <w:r>
        <w:rPr>
          <w:rFonts w:hint="default" w:ascii="Times New Roman" w:hAnsi="Times New Roman Regular" w:cs="Times New Roman Regular"/>
          <w:lang w:val="vi-VN"/>
        </w:rPr>
        <w:t>.........................................................................6</w:t>
      </w:r>
    </w:p>
    <w:p w14:paraId="1C402E77">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6: Confusion Matrix - Binary MLP</w:t>
      </w:r>
      <w:r>
        <w:rPr>
          <w:rFonts w:hint="default" w:ascii="Times New Roman" w:hAnsi="Times New Roman Regular" w:cs="Times New Roman Regular"/>
          <w:lang w:val="vi-VN"/>
        </w:rPr>
        <w:t>.....................................................................................7</w:t>
      </w:r>
    </w:p>
    <w:p w14:paraId="59C5E6C4">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7: ROC Curve of Binary Diabetes Risk</w:t>
      </w:r>
      <w:r>
        <w:rPr>
          <w:rFonts w:hint="default" w:ascii="Times New Roman" w:hAnsi="Times New Roman Regular" w:cs="Times New Roman Regular"/>
          <w:lang w:val="vi-VN"/>
        </w:rPr>
        <w:t>...............................................................................8</w:t>
      </w:r>
    </w:p>
    <w:p w14:paraId="50002389">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8: Precision-Recall vs Threshold Curve</w:t>
      </w:r>
      <w:r>
        <w:rPr>
          <w:rFonts w:hint="default" w:ascii="Times New Roman" w:hAnsi="Times New Roman Regular" w:cs="Times New Roman Regular"/>
          <w:lang w:val="vi-VN"/>
        </w:rPr>
        <w:t>..............................................................................8</w:t>
      </w:r>
    </w:p>
    <w:p w14:paraId="2657B188">
      <w:pPr>
        <w:pStyle w:val="11"/>
        <w:keepNext w:val="0"/>
        <w:keepLines w:val="0"/>
        <w:widowControl/>
        <w:suppressLineNumbers w:val="0"/>
        <w:bidi w:val="0"/>
        <w:spacing w:before="240" w:beforeAutospacing="0" w:after="240" w:afterAutospacing="0" w:line="28" w:lineRule="atLeast"/>
        <w:jc w:val="center"/>
        <w:rPr>
          <w:rFonts w:hint="default" w:ascii="Times New Roman" w:hAnsi="Times New Roman" w:cs="Times New Roman"/>
          <w:i/>
          <w:iCs/>
          <w:caps w:val="0"/>
          <w:color w:val="000000"/>
          <w:spacing w:val="0"/>
          <w:sz w:val="24"/>
          <w:szCs w:val="24"/>
          <w:u w:val="none"/>
          <w:vertAlign w:val="baseline"/>
        </w:rPr>
      </w:pPr>
    </w:p>
    <w:p w14:paraId="50F6A193">
      <w:pPr>
        <w:spacing w:line="360" w:lineRule="auto"/>
        <w:jc w:val="both"/>
        <w:rPr>
          <w:rFonts w:hint="default" w:ascii="Times New Roman Bold" w:hAnsi="Times New Roman Bold" w:cs="Times New Roman Bold"/>
          <w:b/>
          <w:bCs/>
          <w:sz w:val="28"/>
          <w:szCs w:val="28"/>
          <w:lang w:val="vi-VN"/>
        </w:rPr>
      </w:pPr>
    </w:p>
    <w:p w14:paraId="79B60918">
      <w:pPr>
        <w:spacing w:line="360" w:lineRule="auto"/>
      </w:pPr>
      <w:r>
        <w:br w:type="page"/>
      </w:r>
    </w:p>
    <w:p w14:paraId="76173A24">
      <w:pPr>
        <w:pStyle w:val="2"/>
        <w:bidi w:val="0"/>
        <w:spacing w:line="240" w:lineRule="auto"/>
        <w:rPr>
          <w:rFonts w:hint="default" w:ascii="Times New Roman Bold" w:hAnsi="Times New Roman Bold" w:cs="Times New Roman Bold"/>
          <w:b/>
          <w:bCs w:val="0"/>
          <w:sz w:val="28"/>
          <w:szCs w:val="28"/>
        </w:rPr>
      </w:pPr>
      <w:bookmarkStart w:id="0" w:name="_Toc1966261893"/>
      <w:r>
        <w:rPr>
          <w:rFonts w:hint="default" w:ascii="Times New Roman Bold" w:hAnsi="Times New Roman Bold" w:cs="Times New Roman Bold"/>
          <w:b/>
          <w:bCs w:val="0"/>
          <w:sz w:val="28"/>
          <w:szCs w:val="28"/>
        </w:rPr>
        <w:t>1. Introduction</w:t>
      </w:r>
      <w:bookmarkEnd w:id="0"/>
    </w:p>
    <w:p w14:paraId="2AF2BA02">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Diabetes is one of the most prevalent chronic diseases and poses a significant burden on healthcare systems worldwide. Early prediction of diabetes risk plays a crucial role in prevention and timely intervention. With the rapid development of machine learning and deep learning techniques, leveraging large-scale health data has become an effective approach to addressing this problem.</w:t>
      </w:r>
    </w:p>
    <w:p w14:paraId="6F56A870">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This report analyzes the experimental results of Logistic Regression, Random Forest, and Multilayer Perceptron (MLP) models for diabetes risk prediction. Among these, the MLP is treated as the primary model to assess its ability to capture nonlinear relationships within the data, while the other two models serve as baseline methods for comparison. The main focus of this report is on interpreting model prediction behavior and evaluating the suitability of these approaches in the context of real-world healthcare data.</w:t>
      </w:r>
    </w:p>
    <w:p w14:paraId="40ED8E95">
      <w:pPr>
        <w:pStyle w:val="2"/>
        <w:bidi w:val="0"/>
        <w:spacing w:line="240" w:lineRule="auto"/>
        <w:rPr>
          <w:rFonts w:hint="default" w:ascii="Times New Roman Bold" w:hAnsi="Times New Roman Bold" w:cs="Times New Roman Bold"/>
          <w:b/>
          <w:bCs w:val="0"/>
          <w:sz w:val="28"/>
          <w:szCs w:val="28"/>
        </w:rPr>
      </w:pPr>
      <w:bookmarkStart w:id="1" w:name="_Toc1485275615"/>
      <w:r>
        <w:rPr>
          <w:rFonts w:hint="default" w:ascii="Times New Roman Bold" w:hAnsi="Times New Roman Bold" w:cs="Times New Roman Bold"/>
          <w:b/>
          <w:bCs w:val="0"/>
          <w:sz w:val="28"/>
          <w:szCs w:val="28"/>
        </w:rPr>
        <w:t>2. Dataset Overview and Experimental Setup</w:t>
      </w:r>
      <w:bookmarkEnd w:id="1"/>
    </w:p>
    <w:p w14:paraId="6AB5CFD6">
      <w:pPr>
        <w:pStyle w:val="3"/>
        <w:bidi w:val="0"/>
        <w:spacing w:line="240" w:lineRule="auto"/>
        <w:rPr>
          <w:rFonts w:hint="default" w:ascii="Times New Roman Bold" w:hAnsi="Times New Roman Bold" w:cs="Times New Roman Bold"/>
          <w:b/>
          <w:bCs w:val="0"/>
          <w:sz w:val="26"/>
          <w:szCs w:val="26"/>
        </w:rPr>
      </w:pPr>
      <w:bookmarkStart w:id="2" w:name="_Toc677348577"/>
      <w:r>
        <w:rPr>
          <w:rFonts w:hint="default" w:ascii="Times New Roman Bold" w:hAnsi="Times New Roman Bold" w:cs="Times New Roman Bold"/>
          <w:b/>
          <w:bCs w:val="0"/>
          <w:sz w:val="26"/>
          <w:szCs w:val="26"/>
        </w:rPr>
        <w:t>2.1. Dataset</w:t>
      </w:r>
      <w:bookmarkEnd w:id="2"/>
    </w:p>
    <w:p w14:paraId="65EED10D">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The dataset consists of 269,131 samples with 21 input features and one target variable indicating diabetes status. The features cover several important categories, including cardiovascular conditions (HighBP, HighChol), lifestyle behaviors (Smoker, PhysActivity), body-related indicators (BMI), general and mental health status (GenHlth, MentHlth, PhysHlth), as well as demographic factors such as age, sex, education level, and income. The inclusion of diverse feature groups enables the models to capture health-related information in a comprehensive manner.</w:t>
      </w:r>
    </w:p>
    <w:p w14:paraId="549D32F1">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Analysis of the label distribution reveals a class imbalance, with the non-diabetic group accounting for approximately 72.22% of the total samples. The data are split into a training set of 215,304 samples and a test set of 53,827 samples, ensuring sufficient scale to evaluate the generalization performance of the models in a realistic healthcare setting.</w:t>
      </w:r>
    </w:p>
    <w:p w14:paraId="397169D0">
      <w:pPr>
        <w:keepNext w:val="0"/>
        <w:keepLines w:val="0"/>
        <w:widowControl/>
        <w:suppressLineNumbers w:val="0"/>
        <w:jc w:val="center"/>
      </w:pPr>
      <w:r>
        <w:rPr>
          <w:rFonts w:hint="default" w:ascii="Times New Roman" w:hAnsi="Times New Roman" w:eastAsia="宋体" w:cs="Times New Roman"/>
          <w:i w:val="0"/>
          <w:iCs w:val="0"/>
          <w:caps w:val="0"/>
          <w:color w:val="000000"/>
          <w:spacing w:val="0"/>
          <w:kern w:val="0"/>
          <w:sz w:val="24"/>
          <w:szCs w:val="24"/>
          <w:u w:val="none"/>
          <w:vertAlign w:val="baseline"/>
          <w:lang w:val="en-US" w:eastAsia="zh-CN" w:bidi="ar"/>
          <w14:ligatures w14:val="standardContextual"/>
        </w:rPr>
        <w:drawing>
          <wp:inline distT="0" distB="0" distL="114300" distR="114300">
            <wp:extent cx="4026535" cy="2648585"/>
            <wp:effectExtent l="0" t="0" r="12065" b="184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4026535" cy="2648585"/>
                    </a:xfrm>
                    <a:prstGeom prst="rect">
                      <a:avLst/>
                    </a:prstGeom>
                    <a:noFill/>
                    <a:ln w="9525">
                      <a:noFill/>
                    </a:ln>
                  </pic:spPr>
                </pic:pic>
              </a:graphicData>
            </a:graphic>
          </wp:inline>
        </w:drawing>
      </w:r>
    </w:p>
    <w:p w14:paraId="71F95356">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1: Target Distribution: Diabetes Binary</w:t>
      </w:r>
    </w:p>
    <w:p w14:paraId="52E6FCFD">
      <w:pPr>
        <w:pStyle w:val="3"/>
        <w:bidi w:val="0"/>
        <w:spacing w:line="240" w:lineRule="auto"/>
        <w:rPr>
          <w:rFonts w:hint="default" w:ascii="Times New Roman Bold" w:hAnsi="Times New Roman Bold" w:cs="Times New Roman Bold"/>
          <w:b/>
          <w:bCs w:val="0"/>
          <w:sz w:val="26"/>
          <w:szCs w:val="26"/>
        </w:rPr>
      </w:pPr>
      <w:bookmarkStart w:id="3" w:name="_Toc386720892"/>
      <w:r>
        <w:rPr>
          <w:rFonts w:hint="default" w:ascii="Times New Roman Bold" w:hAnsi="Times New Roman Bold" w:cs="Times New Roman Bold"/>
          <w:b/>
          <w:bCs w:val="0"/>
          <w:sz w:val="26"/>
          <w:szCs w:val="26"/>
        </w:rPr>
        <w:t>2.2. Distribution of Key Health Indicators</w:t>
      </w:r>
      <w:bookmarkEnd w:id="3"/>
    </w:p>
    <w:p w14:paraId="0D2DC603">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The BMI distribution is clearly right-skewed, with most samples concentrated between 20 and 35 and a peak at average to slightly elevated values, indicating a large proportion of overweight individuals. The presence of higher BMI values reflects substantial variance, consistent with real-world health data, and may affect the decision boundaries learned by deep learning models.</w:t>
      </w:r>
    </w:p>
    <w:p w14:paraId="66B3ECEE">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val="0"/>
          <w:iCs w:val="0"/>
          <w:caps w:val="0"/>
          <w:color w:val="000000"/>
          <w:spacing w:val="0"/>
          <w:sz w:val="24"/>
          <w:szCs w:val="24"/>
          <w:u w:val="none"/>
          <w:vertAlign w:val="baseline"/>
        </w:rPr>
        <w:drawing>
          <wp:inline distT="0" distB="0" distL="114300" distR="114300">
            <wp:extent cx="3457575" cy="2600325"/>
            <wp:effectExtent l="0" t="0" r="22225" b="1587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3457575" cy="2600325"/>
                    </a:xfrm>
                    <a:prstGeom prst="rect">
                      <a:avLst/>
                    </a:prstGeom>
                    <a:noFill/>
                    <a:ln w="9525">
                      <a:noFill/>
                    </a:ln>
                  </pic:spPr>
                </pic:pic>
              </a:graphicData>
            </a:graphic>
          </wp:inline>
        </w:drawing>
      </w:r>
    </w:p>
    <w:p w14:paraId="136881A6">
      <w:pPr>
        <w:pStyle w:val="11"/>
        <w:keepNext w:val="0"/>
        <w:keepLines w:val="0"/>
        <w:widowControl/>
        <w:suppressLineNumbers w:val="0"/>
        <w:bidi w:val="0"/>
        <w:spacing w:before="240" w:beforeAutospacing="0" w:after="240" w:afterAutospacing="0" w:line="28" w:lineRule="atLeast"/>
        <w:jc w:val="center"/>
        <w:rPr>
          <w:rFonts w:hint="default" w:ascii="Times New Roman" w:hAnsi="Times New Roman" w:cs="Times New Roman"/>
          <w:i/>
          <w:iCs/>
          <w:caps w:val="0"/>
          <w:color w:val="000000"/>
          <w:spacing w:val="0"/>
          <w:sz w:val="24"/>
          <w:szCs w:val="24"/>
          <w:u w:val="none"/>
          <w:vertAlign w:val="baseline"/>
        </w:rPr>
      </w:pPr>
      <w:r>
        <w:rPr>
          <w:rFonts w:hint="default" w:ascii="Times New Roman" w:hAnsi="Times New Roman" w:cs="Times New Roman"/>
          <w:i/>
          <w:iCs/>
          <w:caps w:val="0"/>
          <w:color w:val="000000"/>
          <w:spacing w:val="0"/>
          <w:sz w:val="24"/>
          <w:szCs w:val="24"/>
          <w:u w:val="none"/>
          <w:vertAlign w:val="baseline"/>
        </w:rPr>
        <w:t>Figure 2: Distribution of BMI</w:t>
      </w:r>
    </w:p>
    <w:p w14:paraId="776DB09E">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Age is distributed in discrete groups, with sample counts increasing in middle-aged and older categories. The highest frequencies occur in groups 8–11, indicating a large proportion of individuals with higher age-related diabetes risk, consistent with epidemiological patterns and highlighting age as a key predictive factor.</w:t>
      </w:r>
    </w:p>
    <w:p w14:paraId="41979147">
      <w:pPr>
        <w:pStyle w:val="11"/>
        <w:keepNext w:val="0"/>
        <w:keepLines w:val="0"/>
        <w:widowControl/>
        <w:suppressLineNumbers w:val="0"/>
        <w:bidi w:val="0"/>
        <w:spacing w:before="0" w:beforeAutospacing="0" w:after="0" w:afterAutospacing="0" w:line="28" w:lineRule="atLeast"/>
        <w:jc w:val="center"/>
      </w:pPr>
      <w:r>
        <w:rPr>
          <w:rFonts w:ascii="sans-serif" w:hAnsi="sans-serif" w:cs="sans-serif"/>
          <w:i w:val="0"/>
          <w:iCs w:val="0"/>
          <w:caps w:val="0"/>
          <w:color w:val="000000"/>
          <w:spacing w:val="0"/>
          <w:sz w:val="26"/>
          <w:szCs w:val="26"/>
          <w:u w:val="none"/>
          <w:vertAlign w:val="baseline"/>
        </w:rPr>
        <w:drawing>
          <wp:inline distT="0" distB="0" distL="114300" distR="114300">
            <wp:extent cx="3587750" cy="2706370"/>
            <wp:effectExtent l="0" t="0" r="19050" b="1143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0"/>
                    <a:stretch>
                      <a:fillRect/>
                    </a:stretch>
                  </pic:blipFill>
                  <pic:spPr>
                    <a:xfrm>
                      <a:off x="0" y="0"/>
                      <a:ext cx="3587750" cy="2706370"/>
                    </a:xfrm>
                    <a:prstGeom prst="rect">
                      <a:avLst/>
                    </a:prstGeom>
                    <a:noFill/>
                    <a:ln w="9525">
                      <a:noFill/>
                    </a:ln>
                  </pic:spPr>
                </pic:pic>
              </a:graphicData>
            </a:graphic>
          </wp:inline>
        </w:drawing>
      </w:r>
    </w:p>
    <w:p w14:paraId="6E6A4883">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3: Distribution of Age</w:t>
      </w:r>
    </w:p>
    <w:p w14:paraId="41217366">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The </w:t>
      </w:r>
      <w:r>
        <w:rPr>
          <w:rStyle w:val="8"/>
          <w:rFonts w:hint="default" w:ascii="Times New Roman Regular" w:hAnsi="Times New Roman Regular" w:eastAsia="宋体" w:cs="Times New Roman Regular"/>
          <w:caps w:val="0"/>
          <w:color w:val="000000"/>
          <w:spacing w:val="0"/>
          <w:kern w:val="0"/>
          <w:sz w:val="24"/>
          <w:szCs w:val="24"/>
          <w:u w:val="none"/>
          <w:lang w:val="en-US" w:eastAsia="zh-CN" w:bidi="ar"/>
          <w14:ligatures w14:val="standardContextual"/>
        </w:rPr>
        <w:t>GenHlth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distribution is concentrated at levels 2 and 3, indicating generally good to moderate health, while poorer health levels (4 and 5) occur less frequently but remain substantial. This reflects diverse baseline health conditions and suggests that </w:t>
      </w:r>
      <w:r>
        <w:rPr>
          <w:rStyle w:val="8"/>
          <w:rFonts w:hint="default" w:ascii="Times New Roman Regular" w:hAnsi="Times New Roman Regular" w:eastAsia="宋体" w:cs="Times New Roman Regular"/>
          <w:caps w:val="0"/>
          <w:color w:val="000000"/>
          <w:spacing w:val="0"/>
          <w:kern w:val="0"/>
          <w:sz w:val="24"/>
          <w:szCs w:val="24"/>
          <w:u w:val="none"/>
          <w:lang w:val="en-US" w:eastAsia="zh-CN" w:bidi="ar"/>
          <w14:ligatures w14:val="standardContextual"/>
        </w:rPr>
        <w:t>GenHlth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serves as a composite indicator of overall diabetes risk.</w:t>
      </w:r>
    </w:p>
    <w:p w14:paraId="06DED151">
      <w:pPr>
        <w:pStyle w:val="11"/>
        <w:keepNext w:val="0"/>
        <w:keepLines w:val="0"/>
        <w:widowControl/>
        <w:suppressLineNumbers w:val="0"/>
        <w:bidi w:val="0"/>
        <w:spacing w:before="0" w:beforeAutospacing="0" w:after="0" w:afterAutospacing="0" w:line="28" w:lineRule="atLeast"/>
        <w:jc w:val="center"/>
      </w:pPr>
      <w:r>
        <w:rPr>
          <w:rFonts w:ascii="sans-serif" w:hAnsi="sans-serif" w:cs="sans-serif"/>
          <w:i w:val="0"/>
          <w:iCs w:val="0"/>
          <w:caps w:val="0"/>
          <w:color w:val="000000"/>
          <w:spacing w:val="0"/>
          <w:sz w:val="26"/>
          <w:szCs w:val="26"/>
          <w:u w:val="none"/>
          <w:vertAlign w:val="baseline"/>
        </w:rPr>
        <w:drawing>
          <wp:inline distT="0" distB="0" distL="114300" distR="114300">
            <wp:extent cx="3952240" cy="2876550"/>
            <wp:effectExtent l="0" t="0" r="10160" b="1905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1"/>
                    <a:stretch>
                      <a:fillRect/>
                    </a:stretch>
                  </pic:blipFill>
                  <pic:spPr>
                    <a:xfrm>
                      <a:off x="0" y="0"/>
                      <a:ext cx="3952240" cy="2876550"/>
                    </a:xfrm>
                    <a:prstGeom prst="rect">
                      <a:avLst/>
                    </a:prstGeom>
                    <a:noFill/>
                    <a:ln w="9525">
                      <a:noFill/>
                    </a:ln>
                  </pic:spPr>
                </pic:pic>
              </a:graphicData>
            </a:graphic>
          </wp:inline>
        </w:drawing>
      </w:r>
    </w:p>
    <w:p w14:paraId="6FE3C4D6">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4: Distribution of GenHlth</w:t>
      </w:r>
    </w:p>
    <w:p w14:paraId="76B834CE">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lang w:val="en-US" w:eastAsia="zh-CN"/>
        </w:rPr>
        <w:t>Overall, the distributions of BMI, Age, and GenHlth reflect realistic healthcare patterns and show substantial overlap across value groups, indicating that diabetes risk prediction requires the combination of multiple features rather than reliance on a single factor, which aligns well with the MLP approach used in this study.</w:t>
      </w:r>
    </w:p>
    <w:p w14:paraId="0302E306">
      <w:pPr>
        <w:pStyle w:val="3"/>
        <w:bidi w:val="0"/>
        <w:spacing w:line="240" w:lineRule="auto"/>
        <w:rPr>
          <w:rFonts w:hint="default" w:ascii="Times New Roman Bold" w:hAnsi="Times New Roman Bold" w:cs="Times New Roman Bold"/>
          <w:b/>
          <w:bCs w:val="0"/>
          <w:sz w:val="26"/>
          <w:szCs w:val="26"/>
        </w:rPr>
      </w:pPr>
      <w:bookmarkStart w:id="4" w:name="_Toc1332516022"/>
      <w:r>
        <w:rPr>
          <w:rFonts w:hint="default" w:ascii="Times New Roman Bold" w:hAnsi="Times New Roman Bold" w:cs="Times New Roman Bold"/>
          <w:b/>
          <w:bCs w:val="0"/>
          <w:sz w:val="26"/>
          <w:szCs w:val="26"/>
        </w:rPr>
        <w:t>2.3. Correlation Analysis of Features</w:t>
      </w:r>
      <w:bookmarkEnd w:id="4"/>
    </w:p>
    <w:p w14:paraId="12718626">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The correlation matrix shows mostly low to moderate feature correlations, indicating no severe multicollinearity. </w:t>
      </w:r>
      <w:r>
        <w:rPr>
          <w:rStyle w:val="8"/>
          <w:rFonts w:hint="default" w:ascii="Times New Roman Regular" w:hAnsi="Times New Roman Regular" w:eastAsia="宋体" w:cs="Times New Roman Regular"/>
          <w:caps w:val="0"/>
          <w:color w:val="000000"/>
          <w:spacing w:val="0"/>
          <w:kern w:val="0"/>
          <w:sz w:val="24"/>
          <w:szCs w:val="24"/>
          <w:u w:val="none"/>
          <w:lang w:val="en-US" w:eastAsia="zh-CN" w:bidi="ar"/>
          <w14:ligatures w14:val="standardContextual"/>
        </w:rPr>
        <w:t>Diabetes_binary</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is weakly positively correlated with health-related variables (HighBP, BMI, HeartDiseaseorAttack, DiffWalk) and weakly negatively correlated with lifestyle and socioeconomic factors (PhysActivity, Education, Income). Strong correlations among </w:t>
      </w:r>
      <w:r>
        <w:rPr>
          <w:rStyle w:val="8"/>
          <w:rFonts w:hint="default" w:ascii="Times New Roman Regular" w:hAnsi="Times New Roman Regular" w:eastAsia="宋体" w:cs="Times New Roman Regular"/>
          <w:caps w:val="0"/>
          <w:color w:val="000000"/>
          <w:spacing w:val="0"/>
          <w:kern w:val="0"/>
          <w:sz w:val="24"/>
          <w:szCs w:val="24"/>
          <w:u w:val="none"/>
          <w:lang w:val="en-US" w:eastAsia="zh-CN" w:bidi="ar"/>
          <w14:ligatures w14:val="standardContextual"/>
        </w:rPr>
        <w:t>GenHlth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w:t>
      </w:r>
      <w:r>
        <w:rPr>
          <w:rStyle w:val="8"/>
          <w:rFonts w:hint="default" w:ascii="Times New Roman Regular" w:hAnsi="Times New Roman Regular" w:eastAsia="宋体" w:cs="Times New Roman Regular"/>
          <w:caps w:val="0"/>
          <w:color w:val="000000"/>
          <w:spacing w:val="0"/>
          <w:kern w:val="0"/>
          <w:sz w:val="24"/>
          <w:szCs w:val="24"/>
          <w:u w:val="none"/>
          <w:lang w:val="en-US" w:eastAsia="zh-CN" w:bidi="ar"/>
          <w14:ligatures w14:val="standardContextual"/>
        </w:rPr>
        <w:t>MentHlth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and </w:t>
      </w:r>
      <w:r>
        <w:rPr>
          <w:rStyle w:val="8"/>
          <w:rFonts w:hint="default" w:ascii="Times New Roman Regular" w:hAnsi="Times New Roman Regular" w:eastAsia="宋体" w:cs="Times New Roman Regular"/>
          <w:caps w:val="0"/>
          <w:color w:val="000000"/>
          <w:spacing w:val="0"/>
          <w:kern w:val="0"/>
          <w:sz w:val="24"/>
          <w:szCs w:val="24"/>
          <w:u w:val="none"/>
          <w:lang w:val="en-US" w:eastAsia="zh-CN" w:bidi="ar"/>
          <w14:ligatures w14:val="standardContextual"/>
        </w:rPr>
        <w:t>PhysHlth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reflect the close link between physical and mental health, supporting the suitability of MLP for modeling complex nonlinear relationships.</w:t>
      </w:r>
    </w:p>
    <w:p w14:paraId="5FBD0555">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val="0"/>
          <w:iCs w:val="0"/>
          <w:caps w:val="0"/>
          <w:color w:val="000000"/>
          <w:spacing w:val="0"/>
          <w:sz w:val="24"/>
          <w:szCs w:val="24"/>
          <w:u w:val="none"/>
          <w:vertAlign w:val="baseline"/>
        </w:rPr>
        <w:drawing>
          <wp:inline distT="0" distB="0" distL="114300" distR="114300">
            <wp:extent cx="4371975" cy="4019550"/>
            <wp:effectExtent l="0" t="0" r="22225" b="1905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2"/>
                    <a:stretch>
                      <a:fillRect/>
                    </a:stretch>
                  </pic:blipFill>
                  <pic:spPr>
                    <a:xfrm>
                      <a:off x="0" y="0"/>
                      <a:ext cx="4371975" cy="4019550"/>
                    </a:xfrm>
                    <a:prstGeom prst="rect">
                      <a:avLst/>
                    </a:prstGeom>
                    <a:noFill/>
                    <a:ln w="9525">
                      <a:noFill/>
                    </a:ln>
                  </pic:spPr>
                </pic:pic>
              </a:graphicData>
            </a:graphic>
          </wp:inline>
        </w:drawing>
      </w:r>
    </w:p>
    <w:p w14:paraId="1C78EABC">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5: Correlation Matrix of Numeric Features</w:t>
      </w:r>
    </w:p>
    <w:p w14:paraId="6B222225">
      <w:pPr>
        <w:pStyle w:val="2"/>
        <w:bidi w:val="0"/>
        <w:spacing w:line="240" w:lineRule="auto"/>
        <w:rPr>
          <w:rFonts w:hint="default" w:ascii="Times New Roman Bold" w:hAnsi="Times New Roman Bold" w:cs="Times New Roman Bold"/>
          <w:b/>
          <w:bCs w:val="0"/>
          <w:sz w:val="28"/>
          <w:szCs w:val="28"/>
        </w:rPr>
      </w:pPr>
      <w:bookmarkStart w:id="5" w:name="_Toc1637310838"/>
      <w:r>
        <w:rPr>
          <w:rFonts w:hint="default" w:ascii="Times New Roman Bold" w:hAnsi="Times New Roman Bold" w:cs="Times New Roman Bold"/>
          <w:b/>
          <w:bCs w:val="0"/>
          <w:sz w:val="28"/>
          <w:szCs w:val="28"/>
        </w:rPr>
        <w:t>3. Performance Analysis of the MLP Model</w:t>
      </w:r>
      <w:bookmarkEnd w:id="5"/>
    </w:p>
    <w:p w14:paraId="18935C5D">
      <w:pPr>
        <w:pStyle w:val="3"/>
        <w:bidi w:val="0"/>
        <w:spacing w:line="240" w:lineRule="auto"/>
        <w:rPr>
          <w:rFonts w:hint="default" w:ascii="Times New Roman Bold" w:hAnsi="Times New Roman Bold" w:cs="Times New Roman Bold"/>
          <w:b/>
          <w:bCs w:val="0"/>
          <w:sz w:val="26"/>
          <w:szCs w:val="26"/>
        </w:rPr>
      </w:pPr>
      <w:bookmarkStart w:id="6" w:name="_Toc427801608"/>
      <w:r>
        <w:rPr>
          <w:rFonts w:hint="default" w:ascii="Times New Roman Bold" w:hAnsi="Times New Roman Bold" w:cs="Times New Roman Bold"/>
          <w:b/>
          <w:bCs w:val="0"/>
          <w:sz w:val="26"/>
          <w:szCs w:val="26"/>
        </w:rPr>
        <w:t>3.1. Overall Performance of the MLP Model</w:t>
      </w:r>
      <w:bookmarkEnd w:id="6"/>
    </w:p>
    <w:p w14:paraId="323BF710">
      <w:pPr>
        <w:bidi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 the binary classification setting, the MLP model achieves similar accuracy on the training (71.56%) and test (71.78%) sets, indicating stable generalization without severe overfitting. Given the large and imbalanced healthcare dataset, this suggests that the chosen MLP architecture is appropriate. However, accuracy alone is insufficient for diabetes risk prediction under class imbalance, making class-specific metrics and prediction behavior analysis necessary.</w:t>
      </w:r>
    </w:p>
    <w:p w14:paraId="40957E01">
      <w:pPr>
        <w:pStyle w:val="3"/>
        <w:bidi w:val="0"/>
        <w:spacing w:line="240" w:lineRule="auto"/>
        <w:rPr>
          <w:rFonts w:hint="default" w:ascii="Times New Roman Bold" w:hAnsi="Times New Roman Bold" w:cs="Times New Roman Bold"/>
          <w:b/>
          <w:bCs w:val="0"/>
          <w:sz w:val="26"/>
          <w:szCs w:val="26"/>
        </w:rPr>
      </w:pPr>
      <w:bookmarkStart w:id="7" w:name="_Toc286375500"/>
      <w:r>
        <w:rPr>
          <w:rFonts w:hint="default" w:ascii="Times New Roman Bold" w:hAnsi="Times New Roman Bold" w:cs="Times New Roman Bold"/>
          <w:b/>
          <w:bCs w:val="0"/>
          <w:sz w:val="26"/>
          <w:szCs w:val="26"/>
        </w:rPr>
        <w:t>3.2. Confusion Matrix Analysis</w:t>
      </w:r>
      <w:bookmarkEnd w:id="7"/>
    </w:p>
    <w:p w14:paraId="3FEF9221">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14:ligatures w14:val="standardContextual"/>
        </w:rPr>
        <w:t>The confusion matrix indicates that the MLP effectively identifies diabetic cases, correctly predicting </w:t>
      </w:r>
      <w:r>
        <w:rPr>
          <w:rFonts w:hint="default" w:ascii="Times New Roman" w:hAnsi="Times New Roman" w:eastAsia="宋体" w:cs="Times New Roman"/>
          <w:b w:val="0"/>
          <w:bCs w:val="0"/>
          <w:i w:val="0"/>
          <w:iCs w:val="0"/>
          <w:caps w:val="0"/>
          <w:color w:val="000000"/>
          <w:spacing w:val="0"/>
          <w:kern w:val="0"/>
          <w:sz w:val="24"/>
          <w:szCs w:val="24"/>
          <w:u w:val="none"/>
          <w:lang w:val="en-US" w:eastAsia="zh-CN" w:bidi="ar"/>
          <w14:ligatures w14:val="standardContextual"/>
        </w:rPr>
        <w:t>9,791</w:t>
      </w: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14:ligatures w14:val="standardContextual"/>
        </w:rPr>
        <w:t> positives while missing </w:t>
      </w:r>
      <w:r>
        <w:rPr>
          <w:rFonts w:hint="default" w:ascii="Times New Roman" w:hAnsi="Times New Roman" w:eastAsia="宋体" w:cs="Times New Roman"/>
          <w:b w:val="0"/>
          <w:bCs w:val="0"/>
          <w:i w:val="0"/>
          <w:iCs w:val="0"/>
          <w:caps w:val="0"/>
          <w:color w:val="000000"/>
          <w:spacing w:val="0"/>
          <w:kern w:val="0"/>
          <w:sz w:val="24"/>
          <w:szCs w:val="24"/>
          <w:u w:val="none"/>
          <w:lang w:val="en-US" w:eastAsia="zh-CN" w:bidi="ar"/>
          <w14:ligatures w14:val="standardContextual"/>
        </w:rPr>
        <w:t>5,160</w:t>
      </w: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14:ligatures w14:val="standardContextual"/>
        </w:rPr>
        <w:t>, resulting in high recall for the diabetic class. However, the model also produces a relatively high number of false positives (</w:t>
      </w:r>
      <w:r>
        <w:rPr>
          <w:rFonts w:hint="default" w:ascii="Times New Roman" w:hAnsi="Times New Roman" w:eastAsia="宋体" w:cs="Times New Roman"/>
          <w:b w:val="0"/>
          <w:bCs w:val="0"/>
          <w:i w:val="0"/>
          <w:iCs w:val="0"/>
          <w:caps w:val="0"/>
          <w:color w:val="000000"/>
          <w:spacing w:val="0"/>
          <w:kern w:val="0"/>
          <w:sz w:val="24"/>
          <w:szCs w:val="24"/>
          <w:u w:val="none"/>
          <w:lang w:val="en-US" w:eastAsia="zh-CN" w:bidi="ar"/>
          <w14:ligatures w14:val="standardContextual"/>
        </w:rPr>
        <w:t>7,902</w:t>
      </w: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14:ligatures w14:val="standardContextual"/>
        </w:rPr>
        <w:t>), reducing precision. This trade-off is acceptable in medical screening contexts, where missing at-risk patients is more critical than generating additional follow-up examinations.</w:t>
      </w:r>
    </w:p>
    <w:p w14:paraId="395E6062">
      <w:pPr>
        <w:keepNext w:val="0"/>
        <w:keepLines w:val="0"/>
        <w:widowControl/>
        <w:suppressLineNumbers w:val="0"/>
        <w:jc w:val="center"/>
      </w:pPr>
      <w:r>
        <w:rPr>
          <w:rFonts w:ascii="sans-serif" w:hAnsi="sans-serif" w:eastAsia="sans-serif" w:cs="sans-serif"/>
          <w:i w:val="0"/>
          <w:iCs w:val="0"/>
          <w:caps w:val="0"/>
          <w:color w:val="1F1F1F"/>
          <w:spacing w:val="0"/>
          <w:kern w:val="0"/>
          <w:sz w:val="28"/>
          <w:szCs w:val="28"/>
          <w:u w:val="none"/>
          <w:shd w:val="clear" w:fill="FFFFFF"/>
          <w:lang w:val="en-US" w:eastAsia="zh-CN" w:bidi="ar"/>
          <w14:ligatures w14:val="standardContextual"/>
        </w:rPr>
        <w:drawing>
          <wp:inline distT="0" distB="0" distL="114300" distR="114300">
            <wp:extent cx="3607435" cy="2914650"/>
            <wp:effectExtent l="0" t="0" r="24765" b="635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3"/>
                    <a:stretch>
                      <a:fillRect/>
                    </a:stretch>
                  </pic:blipFill>
                  <pic:spPr>
                    <a:xfrm>
                      <a:off x="0" y="0"/>
                      <a:ext cx="3607435" cy="2914650"/>
                    </a:xfrm>
                    <a:prstGeom prst="rect">
                      <a:avLst/>
                    </a:prstGeom>
                    <a:noFill/>
                    <a:ln w="9525">
                      <a:noFill/>
                    </a:ln>
                  </pic:spPr>
                </pic:pic>
              </a:graphicData>
            </a:graphic>
          </wp:inline>
        </w:drawing>
      </w:r>
    </w:p>
    <w:p w14:paraId="0FC6761D">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6: Confusion Matrix - Binary MLP</w:t>
      </w:r>
    </w:p>
    <w:p w14:paraId="5F65015F">
      <w:pPr>
        <w:pStyle w:val="3"/>
        <w:bidi w:val="0"/>
        <w:spacing w:line="240" w:lineRule="auto"/>
        <w:rPr>
          <w:rFonts w:hint="default" w:ascii="Times New Roman Bold" w:hAnsi="Times New Roman Bold" w:cs="Times New Roman Bold"/>
          <w:b/>
          <w:bCs w:val="0"/>
          <w:sz w:val="26"/>
          <w:szCs w:val="26"/>
        </w:rPr>
      </w:pPr>
      <w:bookmarkStart w:id="8" w:name="_Toc602175573"/>
      <w:r>
        <w:rPr>
          <w:rFonts w:hint="default" w:ascii="Times New Roman Bold" w:hAnsi="Times New Roman Bold" w:cs="Times New Roman Bold"/>
          <w:b/>
          <w:bCs w:val="0"/>
          <w:sz w:val="26"/>
          <w:szCs w:val="26"/>
        </w:rPr>
        <w:t>3.3. ROC Curve Analysis</w:t>
      </w:r>
      <w:bookmarkEnd w:id="8"/>
    </w:p>
    <w:p w14:paraId="63041AB6">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The ROC curve of the MLP model demonstrates a strong ability to distinguish between diabetic and non-diabetic classes. The area under the curve (AUC) reaches 0.818, indicating that the model learns discriminative features effectively and performs substantially better than random guessing.</w:t>
      </w:r>
    </w:p>
    <w:p w14:paraId="41A95D68">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Furthermore, the ROC curve remains well above the diagonal reference line across most classification thresholds, suggesting stable performance under varying decision thresholds. This property is particularly important in healthcare applications, where threshold adjustment may be required to balance sensitivity and specificity according to different screening objectives.</w:t>
      </w:r>
    </w:p>
    <w:p w14:paraId="7377CA89">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val="0"/>
          <w:iCs w:val="0"/>
          <w:caps w:val="0"/>
          <w:color w:val="000000"/>
          <w:spacing w:val="0"/>
          <w:sz w:val="24"/>
          <w:szCs w:val="24"/>
          <w:u w:val="none"/>
          <w:vertAlign w:val="baseline"/>
        </w:rPr>
        <w:drawing>
          <wp:inline distT="0" distB="0" distL="114300" distR="114300">
            <wp:extent cx="3581400" cy="2867025"/>
            <wp:effectExtent l="0" t="0" r="0"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4"/>
                    <a:stretch>
                      <a:fillRect/>
                    </a:stretch>
                  </pic:blipFill>
                  <pic:spPr>
                    <a:xfrm>
                      <a:off x="0" y="0"/>
                      <a:ext cx="3581400" cy="2867025"/>
                    </a:xfrm>
                    <a:prstGeom prst="rect">
                      <a:avLst/>
                    </a:prstGeom>
                    <a:noFill/>
                    <a:ln w="9525">
                      <a:noFill/>
                    </a:ln>
                  </pic:spPr>
                </pic:pic>
              </a:graphicData>
            </a:graphic>
          </wp:inline>
        </w:drawing>
      </w:r>
    </w:p>
    <w:p w14:paraId="4F92C11C">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7: ROC Curve of Binary Diabetes Risk</w:t>
      </w:r>
    </w:p>
    <w:p w14:paraId="719E722B">
      <w:pPr>
        <w:pStyle w:val="3"/>
        <w:bidi w:val="0"/>
        <w:spacing w:line="240" w:lineRule="auto"/>
        <w:rPr>
          <w:rFonts w:hint="default" w:ascii="Times New Roman Bold" w:hAnsi="Times New Roman Bold" w:cs="Times New Roman Bold"/>
          <w:b/>
          <w:bCs w:val="0"/>
          <w:sz w:val="26"/>
          <w:szCs w:val="26"/>
        </w:rPr>
      </w:pPr>
      <w:bookmarkStart w:id="9" w:name="_Toc1821910747"/>
      <w:r>
        <w:rPr>
          <w:rFonts w:hint="default" w:ascii="Times New Roman Bold" w:hAnsi="Times New Roman Bold" w:cs="Times New Roman Bold"/>
          <w:b/>
          <w:bCs w:val="0"/>
          <w:sz w:val="26"/>
          <w:szCs w:val="26"/>
        </w:rPr>
        <w:t>3.4. Threshold Tuning Analysis</w:t>
      </w:r>
      <w:bookmarkEnd w:id="9"/>
    </w:p>
    <w:p w14:paraId="75BC266A">
      <w:pPr>
        <w:keepNext w:val="0"/>
        <w:keepLines w:val="0"/>
        <w:widowControl/>
        <w:suppressLineNumbers w:val="0"/>
        <w:spacing w:line="360" w:lineRule="auto"/>
        <w:jc w:val="both"/>
        <w:rPr>
          <w:i w:val="0"/>
          <w:iCs w:val="0"/>
          <w:caps w:val="0"/>
          <w:color w:val="000000"/>
          <w:spacing w:val="0"/>
          <w:u w:val="none"/>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The relationship between precision, recall, and the decision threshold shows a clear trade-off: increasing the threshold improves precision but reduces recall, while lower thresholds increase recall at the cost of more false positives. The optimal threshold is approximately 0.51, yielding the highest F1-score and a balanced precision–recall trade-off. This threshold tuning, rather than using the default 0.5, reflects a practical deployment-oriented approach suitable for medical screening applications with varying priorities.</w:t>
      </w:r>
    </w:p>
    <w:p w14:paraId="6DF0E80F">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val="0"/>
          <w:iCs w:val="0"/>
          <w:caps w:val="0"/>
          <w:color w:val="000000"/>
          <w:spacing w:val="0"/>
          <w:sz w:val="24"/>
          <w:szCs w:val="24"/>
          <w:u w:val="none"/>
          <w:vertAlign w:val="baseline"/>
        </w:rPr>
        <w:drawing>
          <wp:inline distT="0" distB="0" distL="114300" distR="114300">
            <wp:extent cx="3702050" cy="2960370"/>
            <wp:effectExtent l="0" t="0" r="6350" b="11430"/>
            <wp:docPr id="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6"/>
                    <pic:cNvPicPr>
                      <a:picLocks noChangeAspect="1"/>
                    </pic:cNvPicPr>
                  </pic:nvPicPr>
                  <pic:blipFill>
                    <a:blip r:embed="rId15"/>
                    <a:stretch>
                      <a:fillRect/>
                    </a:stretch>
                  </pic:blipFill>
                  <pic:spPr>
                    <a:xfrm>
                      <a:off x="0" y="0"/>
                      <a:ext cx="3702050" cy="2960370"/>
                    </a:xfrm>
                    <a:prstGeom prst="rect">
                      <a:avLst/>
                    </a:prstGeom>
                    <a:noFill/>
                    <a:ln w="9525">
                      <a:noFill/>
                    </a:ln>
                  </pic:spPr>
                </pic:pic>
              </a:graphicData>
            </a:graphic>
          </wp:inline>
        </w:drawing>
      </w:r>
    </w:p>
    <w:p w14:paraId="01FB2D41">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8: Precision-Recall vs Threshold Curve</w:t>
      </w:r>
    </w:p>
    <w:p w14:paraId="2334B37D">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Overall, the MLP model demonstrates stable generalization, high recall for diabetic cases, and flexible threshold adjustment, making it suitable for early diabetes risk detection; however, the relatively high false positive rate indicates the need for further improvement before real-world deployment.</w:t>
      </w:r>
    </w:p>
    <w:p w14:paraId="06F1FB34">
      <w:pPr>
        <w:pStyle w:val="2"/>
        <w:bidi w:val="0"/>
        <w:spacing w:line="240" w:lineRule="auto"/>
        <w:rPr>
          <w:rFonts w:hint="default" w:ascii="Times New Roman Bold" w:hAnsi="Times New Roman Bold" w:cs="Times New Roman Bold"/>
          <w:b/>
          <w:bCs w:val="0"/>
          <w:sz w:val="28"/>
          <w:szCs w:val="28"/>
        </w:rPr>
      </w:pPr>
      <w:bookmarkStart w:id="10" w:name="_Toc2032085903"/>
      <w:r>
        <w:rPr>
          <w:rFonts w:hint="default" w:ascii="Times New Roman Bold" w:hAnsi="Times New Roman Bold" w:cs="Times New Roman Bold"/>
          <w:b/>
          <w:bCs w:val="0"/>
          <w:sz w:val="28"/>
          <w:szCs w:val="28"/>
        </w:rPr>
        <w:t>4. Comparison with Baseline Models</w:t>
      </w:r>
      <w:bookmarkEnd w:id="10"/>
    </w:p>
    <w:p w14:paraId="67564301">
      <w:pPr>
        <w:pStyle w:val="3"/>
        <w:bidi w:val="0"/>
        <w:spacing w:line="240" w:lineRule="auto"/>
        <w:rPr>
          <w:rFonts w:hint="default" w:ascii="Times New Roman Bold" w:hAnsi="Times New Roman Bold" w:cs="Times New Roman Bold"/>
          <w:b/>
          <w:bCs w:val="0"/>
          <w:sz w:val="26"/>
          <w:szCs w:val="26"/>
        </w:rPr>
      </w:pPr>
      <w:bookmarkStart w:id="11" w:name="_Toc1835333480"/>
      <w:r>
        <w:rPr>
          <w:rFonts w:hint="default" w:ascii="Times New Roman Bold" w:hAnsi="Times New Roman Bold" w:cs="Times New Roman Bold"/>
          <w:b/>
          <w:bCs w:val="0"/>
          <w:sz w:val="26"/>
          <w:szCs w:val="26"/>
        </w:rPr>
        <w:t>4.1. Overall Performance Comparison</w:t>
      </w:r>
      <w:bookmarkEnd w:id="11"/>
    </w:p>
    <w:p w14:paraId="7BA4F213">
      <w:pPr>
        <w:bidi w:val="0"/>
        <w:spacing w:line="360" w:lineRule="auto"/>
        <w:jc w:val="both"/>
        <w:rPr>
          <w:rFonts w:hint="default" w:ascii="Times New Roman Regular" w:hAnsi="Times New Roman Regular" w:cs="Times New Roman Regular"/>
        </w:rPr>
      </w:pPr>
      <w:bookmarkStart w:id="12" w:name="_Toc2142176499"/>
      <w:r>
        <w:rPr>
          <w:rFonts w:hint="default" w:ascii="Times New Roman Regular" w:hAnsi="Times New Roman Regular" w:cs="Times New Roman Regular"/>
        </w:rPr>
        <w:t>Random Forest achieves the highest accuracy (78</w:t>
      </w:r>
      <w:r>
        <w:rPr>
          <w:rFonts w:hint="default" w:ascii="Times New Roman" w:hAnsi="Times New Roman Regular" w:cs="Times New Roman Regular"/>
          <w:lang w:val="vi-VN"/>
        </w:rPr>
        <w:t>%</w:t>
      </w:r>
      <w:r>
        <w:rPr>
          <w:rFonts w:hint="default" w:ascii="Times New Roman Regular" w:hAnsi="Times New Roman Regular" w:cs="Times New Roman Regular"/>
        </w:rPr>
        <w:t>), followed by MLP (73</w:t>
      </w:r>
      <w:r>
        <w:rPr>
          <w:rFonts w:hint="default" w:ascii="Times New Roman" w:hAnsi="Times New Roman Regular" w:cs="Times New Roman Regular"/>
          <w:lang w:val="vi-VN"/>
        </w:rPr>
        <w:t>%</w:t>
      </w:r>
      <w:r>
        <w:rPr>
          <w:rFonts w:hint="default" w:ascii="Times New Roman Regular" w:hAnsi="Times New Roman Regular" w:cs="Times New Roman Regular"/>
        </w:rPr>
        <w:t>) and Logistic Regression (72</w:t>
      </w:r>
      <w:r>
        <w:rPr>
          <w:rFonts w:hint="default" w:ascii="Times New Roman" w:hAnsi="Times New Roman Regular" w:cs="Times New Roman Regular"/>
          <w:lang w:val="vi-VN"/>
        </w:rPr>
        <w:t>%</w:t>
      </w:r>
      <w:r>
        <w:rPr>
          <w:rFonts w:hint="default" w:ascii="Times New Roman Regular" w:hAnsi="Times New Roman Regular" w:cs="Times New Roman Regular"/>
        </w:rPr>
        <w:t>). However, under class imbalance, accuracy does not necessarily reflect clinical usefulness. In terms of weighted F1-score, Random Forest performs best (76</w:t>
      </w:r>
      <w:r>
        <w:rPr>
          <w:rFonts w:hint="default" w:ascii="Times New Roman" w:hAnsi="Times New Roman Regular" w:cs="Times New Roman Regular"/>
          <w:lang w:val="vi-VN"/>
        </w:rPr>
        <w:t>%</w:t>
      </w:r>
      <w:r>
        <w:rPr>
          <w:rFonts w:hint="default" w:ascii="Times New Roman Regular" w:hAnsi="Times New Roman Regular" w:cs="Times New Roman Regular"/>
        </w:rPr>
        <w:t>), followed by MLP (74</w:t>
      </w:r>
      <w:r>
        <w:rPr>
          <w:rFonts w:hint="default" w:ascii="Times New Roman" w:hAnsi="Times New Roman Regular" w:cs="Times New Roman Regular"/>
          <w:lang w:val="vi-VN"/>
        </w:rPr>
        <w:t>%</w:t>
      </w:r>
      <w:r>
        <w:rPr>
          <w:rFonts w:hint="default" w:ascii="Times New Roman Regular" w:hAnsi="Times New Roman Regular" w:cs="Times New Roman Regular"/>
        </w:rPr>
        <w:t>) and Logistic Regression (74</w:t>
      </w:r>
      <w:r>
        <w:rPr>
          <w:rFonts w:hint="default" w:ascii="Times New Roman" w:hAnsi="Times New Roman Regular" w:cs="Times New Roman Regular"/>
          <w:lang w:val="vi-VN"/>
        </w:rPr>
        <w:t>%</w:t>
      </w:r>
      <w:r>
        <w:rPr>
          <w:rFonts w:hint="default" w:ascii="Times New Roman Regular" w:hAnsi="Times New Roman Regular" w:cs="Times New Roman Regular"/>
        </w:rPr>
        <w:t>). This indicates that while baseline models optimize performance on the majority class, they may vary in their effectiveness for detecting diabetic cases.</w:t>
      </w:r>
    </w:p>
    <w:p w14:paraId="5F8D376E">
      <w:pPr>
        <w:pStyle w:val="3"/>
        <w:bidi w:val="0"/>
        <w:spacing w:line="240" w:lineRule="auto"/>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Pr>
        <w:t>4.2. Class-wise Performance Comparison</w:t>
      </w:r>
      <w:bookmarkEnd w:id="12"/>
    </w:p>
    <w:p w14:paraId="05356736">
      <w:pPr>
        <w:bidi w:val="0"/>
        <w:spacing w:line="360" w:lineRule="auto"/>
        <w:jc w:val="both"/>
        <w:rPr>
          <w:rFonts w:hint="default" w:ascii="Times New Roman Regular" w:hAnsi="Times New Roman Regular" w:cs="Times New Roman Regular"/>
        </w:rPr>
      </w:pPr>
      <w:bookmarkStart w:id="13" w:name="_Toc997076738"/>
      <w:r>
        <w:rPr>
          <w:rFonts w:hint="default" w:ascii="Times New Roman Regular" w:hAnsi="Times New Roman Regular" w:cs="Times New Roman Regular"/>
        </w:rPr>
        <w:t>Class-wise analysis reveals that Random Forest performs extremely well on the non-diabetic class, achieving a recall of 92</w:t>
      </w:r>
      <w:r>
        <w:rPr>
          <w:rFonts w:hint="default" w:ascii="Times New Roman" w:hAnsi="Times New Roman Regular" w:cs="Times New Roman Regular"/>
          <w:lang w:val="vi-VN"/>
        </w:rPr>
        <w:t>%</w:t>
      </w:r>
      <w:r>
        <w:rPr>
          <w:rFonts w:hint="default" w:ascii="Times New Roman Regular" w:hAnsi="Times New Roman Regular" w:cs="Times New Roman Regular"/>
        </w:rPr>
        <w:t> and an F1-score of 86</w:t>
      </w:r>
      <w:r>
        <w:rPr>
          <w:rFonts w:hint="default" w:ascii="Times New Roman" w:hAnsi="Times New Roman Regular" w:cs="Times New Roman Regular"/>
          <w:lang w:val="vi-VN"/>
        </w:rPr>
        <w:t>%</w:t>
      </w:r>
      <w:r>
        <w:rPr>
          <w:rFonts w:hint="default" w:ascii="Times New Roman Regular" w:hAnsi="Times New Roman Regular" w:cs="Times New Roman Regular"/>
        </w:rPr>
        <w:t>. However, it struggles to identify diabetic cases, with a recall of only 41</w:t>
      </w:r>
      <w:r>
        <w:rPr>
          <w:rFonts w:hint="default" w:ascii="Times New Roman" w:hAnsi="Times New Roman Regular" w:cs="Times New Roman Regular"/>
          <w:lang w:val="vi-VN"/>
        </w:rPr>
        <w:t>%</w:t>
      </w:r>
      <w:r>
        <w:rPr>
          <w:rFonts w:hint="default" w:ascii="Times New Roman Regular" w:hAnsi="Times New Roman Regular" w:cs="Times New Roman Regular"/>
        </w:rPr>
        <w:t>, indicating a bias toward the majority class. Logistic Regression shows a better balance for the diabetic class with a recall of 75</w:t>
      </w:r>
      <w:r>
        <w:rPr>
          <w:rFonts w:hint="default" w:ascii="Times New Roman" w:hAnsi="Times New Roman Regular" w:cs="Times New Roman Regular"/>
          <w:lang w:val="vi-VN"/>
        </w:rPr>
        <w:t>%</w:t>
      </w:r>
      <w:r>
        <w:rPr>
          <w:rFonts w:hint="default" w:ascii="Times New Roman Regular" w:hAnsi="Times New Roman Regular" w:cs="Times New Roman Regular"/>
        </w:rPr>
        <w:t> and an F1-score of 60</w:t>
      </w:r>
      <w:r>
        <w:rPr>
          <w:rFonts w:hint="default" w:ascii="Times New Roman" w:hAnsi="Times New Roman Regular" w:cs="Times New Roman Regular"/>
          <w:lang w:val="vi-VN"/>
        </w:rPr>
        <w:t>%</w:t>
      </w:r>
      <w:r>
        <w:rPr>
          <w:rFonts w:hint="default" w:ascii="Times New Roman Regular" w:hAnsi="Times New Roman Regular" w:cs="Times New Roman Regular"/>
        </w:rPr>
        <w:t>.</w:t>
      </w:r>
    </w:p>
    <w:p w14:paraId="7C7D4D66">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In contrast, the MLP model demonstrates the highest ability to identify diabetic cases. Although its overall accuracy is not the highest, the MLP achieves the best recall for the diabetic class (77</w:t>
      </w:r>
      <w:r>
        <w:rPr>
          <w:rFonts w:hint="default" w:ascii="Times New Roman" w:hAnsi="Times New Roman Regular" w:cs="Times New Roman Regular"/>
          <w:lang w:val="vi-VN"/>
        </w:rPr>
        <w:t>%</w:t>
      </w:r>
      <w:r>
        <w:rPr>
          <w:rFonts w:hint="default" w:ascii="Times New Roman Regular" w:hAnsi="Times New Roman Regular" w:cs="Times New Roman Regular"/>
        </w:rPr>
        <w:t>) and the highest F1-score (61</w:t>
      </w:r>
      <w:r>
        <w:rPr>
          <w:rFonts w:hint="default" w:ascii="Times New Roman" w:hAnsi="Times New Roman Regular" w:cs="Times New Roman Regular"/>
          <w:lang w:val="vi-VN"/>
        </w:rPr>
        <w:t>%</w:t>
      </w:r>
      <w:r>
        <w:rPr>
          <w:rFonts w:hint="default" w:ascii="Times New Roman Regular" w:hAnsi="Times New Roman Regular" w:cs="Times New Roman Regular"/>
        </w:rPr>
        <w:t>), making it more valuable in medical risk prediction scenarios. The confusion matrix confirms this strength, showing 9,791 correct positive predictions.</w:t>
      </w:r>
    </w:p>
    <w:p w14:paraId="765C0C3A">
      <w:pPr>
        <w:pStyle w:val="3"/>
        <w:bidi w:val="0"/>
        <w:spacing w:line="240" w:lineRule="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4.3. Discussion on Model Suitability for Healthcare</w:t>
      </w:r>
      <w:bookmarkEnd w:id="13"/>
    </w:p>
    <w:p w14:paraId="5B92103B">
      <w:pPr>
        <w:bidi w:val="0"/>
        <w:spacing w:line="360" w:lineRule="auto"/>
        <w:jc w:val="both"/>
        <w:rPr>
          <w:rFonts w:hint="default" w:ascii="Times New Roman Regular" w:hAnsi="Times New Roman Regular" w:cs="Times New Roman Regular"/>
        </w:rPr>
      </w:pPr>
      <w:bookmarkStart w:id="14" w:name="_Toc1053838025"/>
      <w:r>
        <w:rPr>
          <w:rFonts w:hint="default" w:ascii="Times New Roman Regular" w:hAnsi="Times New Roman Regular" w:cs="Times New Roman Regular"/>
        </w:rPr>
        <w:t>Overall, no single model achieves optimal performance across all evaluation metrics. Random Forest obtains the highest accuracy but offers limited clinical value due to its lower recall (41</w:t>
      </w:r>
      <w:r>
        <w:rPr>
          <w:rFonts w:hint="default" w:ascii="Times New Roman" w:hAnsi="Times New Roman Regular" w:cs="Times New Roman Regular"/>
          <w:lang w:val="vi-VN"/>
        </w:rPr>
        <w:t>%</w:t>
      </w:r>
      <w:r>
        <w:rPr>
          <w:rFonts w:hint="default" w:ascii="Times New Roman Regular" w:hAnsi="Times New Roman Regular" w:cs="Times New Roman Regular"/>
        </w:rPr>
        <w:t>) in detecting diabetic patients. The MLP model, while slightly inferior in overall accuracy, provides the best balance between disease detection and generalization performance.</w:t>
      </w:r>
    </w:p>
    <w:p w14:paraId="740615A9">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From a healthcare perspective, the MLP is a more suitable choice for diabetes risk screening systems, where minimizing missed diagnoses is a primary concern. Nevertheless, the results indicate that further improvements are necessary to reduce the 7,902 false positives and enhance real-world applicability.</w:t>
      </w:r>
    </w:p>
    <w:p w14:paraId="45443679">
      <w:pPr>
        <w:pStyle w:val="2"/>
        <w:bidi w:val="0"/>
        <w:spacing w:line="240" w:lineRule="auto"/>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rPr>
        <w:t>5. Discussion and Limitations</w:t>
      </w:r>
      <w:bookmarkEnd w:id="14"/>
    </w:p>
    <w:p w14:paraId="2FCD81F3">
      <w:pPr>
        <w:bidi w:val="0"/>
        <w:spacing w:line="360" w:lineRule="auto"/>
        <w:jc w:val="both"/>
        <w:rPr>
          <w:rFonts w:hint="default" w:ascii="Times New Roman Regular" w:hAnsi="Times New Roman Regular" w:cs="Times New Roman Regular"/>
        </w:rPr>
      </w:pPr>
      <w:bookmarkStart w:id="15" w:name="_Toc1558049366"/>
      <w:r>
        <w:rPr>
          <w:rFonts w:hint="default" w:ascii="Times New Roman Regular" w:hAnsi="Times New Roman Regular" w:cs="Times New Roman Regular"/>
        </w:rPr>
        <w:t>The experimental results indicate that the MLP model demonstrates a strong ability to identify individuals at risk of diabetes, as evidenced by its high recall in the binary classification setting. In healthcare applications, reducing missed diagnoses is often more critical than maximizing overall accuracy, and the model’s relatively high false positive rate reflects a safety-oriented prediction strategy suitable for early screening rather than clinical diagnosis. In addition, threshold tuning allows the model to flexibly adapt to different medical objectives and operating conditions.</w:t>
      </w:r>
    </w:p>
    <w:p w14:paraId="175932EC">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However, several limitations remain. The dataset exhibits significant class imbalance, which adversely affects performance, particularly in the multiclass classification setting. Moreover, the MLP model does not incorporate advanced imbalance-handling techniques and lacks interpretability, both of which are essential for trust and adoption in real-world medical systems. Overall, these findings highlight that accuracy alone is insufficient for evaluating imbalanced healthcare problems, and that comprehensive analysis using confusion matrices, ROC curves, and threshold adjustment is necessary to understand model behavior and support effective deployment.</w:t>
      </w:r>
    </w:p>
    <w:p w14:paraId="3FB4AA22">
      <w:pPr>
        <w:pStyle w:val="2"/>
        <w:bidi w:val="0"/>
        <w:spacing w:line="240" w:lineRule="auto"/>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rPr>
        <w:t>6. Conclusion and Future Directions</w:t>
      </w:r>
      <w:bookmarkEnd w:id="15"/>
    </w:p>
    <w:p w14:paraId="53BD3916">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This study evaluates machine learning and deep learning models for diabetes risk prediction using large-scale health data and shows that the MLP achieves stable performance with clear advantages in binary classification, particularly in identifying high-risk individuals. Its high AUC and strong recall for the diabetic class highlight its potential for medical screening where early detection is prioritized over overall accuracy. However, performance remains affected by data imbalance, and future work should focus on imbalance handling, loss optimization, and model interpretability to improve reliability for real-world healthcare deployment.</w:t>
      </w:r>
    </w:p>
    <w:p w14:paraId="4D167D8D">
      <w:pPr>
        <w:bidi w:val="0"/>
        <w:spacing w:line="360" w:lineRule="auto"/>
        <w:jc w:val="both"/>
        <w:rPr>
          <w:rFonts w:hint="default" w:ascii="Times New Roman Regular" w:hAnsi="Times New Roman Regular" w:cs="Times New Roman Regular"/>
          <w:lang w:val="vi-VN"/>
        </w:rPr>
      </w:pPr>
    </w:p>
    <w:sectPr>
      <w:footerReference r:id="rId5" w:type="default"/>
      <w:pgSz w:w="11906" w:h="16838"/>
      <w:pgMar w:top="1440" w:right="936" w:bottom="1440" w:left="1656"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56950">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E9AC9">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200E9AC9">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E6911"/>
    <w:rsid w:val="27FE2AF0"/>
    <w:rsid w:val="4B377460"/>
    <w:rsid w:val="5FFE6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12">
    <w:name w:val="Strong"/>
    <w:basedOn w:val="6"/>
    <w:qFormat/>
    <w:uiPriority w:val="0"/>
    <w:rPr>
      <w:b/>
      <w:bCs/>
    </w:rPr>
  </w:style>
  <w:style w:type="paragraph" w:styleId="13">
    <w:name w:val="toc 1"/>
    <w:basedOn w:val="1"/>
    <w:next w:val="1"/>
    <w:uiPriority w:val="0"/>
  </w:style>
  <w:style w:type="paragraph" w:styleId="14">
    <w:name w:val="toc 2"/>
    <w:basedOn w:val="1"/>
    <w:next w:val="1"/>
    <w:uiPriority w:val="0"/>
    <w:pPr>
      <w:ind w:left="420" w:leftChars="200"/>
    </w:pPr>
  </w:style>
  <w:style w:type="paragraph" w:customStyle="1" w:styleId="15">
    <w:name w:val="WPSOffice手动目录 1"/>
    <w:uiPriority w:val="0"/>
    <w:pPr>
      <w:ind w:leftChars="0"/>
    </w:pPr>
    <w:rPr>
      <w:rFonts w:ascii="Times New Roman" w:hAnsi="Times New Roman" w:eastAsia="宋体" w:cs="Times New Roman"/>
      <w:sz w:val="20"/>
      <w:szCs w:val="20"/>
    </w:rPr>
  </w:style>
  <w:style w:type="paragraph" w:customStyle="1" w:styleId="16">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17</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2025-12-19T03:15:00Z</dcterms:created>
  <dc:creator>NgocAnh</dc:creator>
  <cp:lastModifiedBy>NgocAnh</cp:lastModifiedBy>
  <dcterms:modified xsi:type="dcterms:W3CDTF">2025-12-19T22:56:57Z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BEA627B4D3019750E67F43694DFB3E89_41</vt:lpwstr>
  </property>
</Properties>
</file>