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Business Logic Documentation: Container REST Integration</w:t>
      </w:r>
    </w:p>
    <w:p>
      <w:r>
        <w:t xml:space="preserve">Target: Beacukai Developer Portal (OpenAPI/JSON)</w:t>
      </w:r>
    </w:p>
    <w:p>
      <w:r>
        <w:t xml:space="preserve">Project: realav1_tpsonline</w:t>
      </w:r>
    </w:p>
    <w:p>
      <w:pPr>
        <w:spacing w:before="240"/>
      </w:pPr>
      <w:r>
        <w:t xml:space="preserve">This document describes the business logic and technical mapping for the new Container (Coarri Discharge) integration module. It is designed to replace/supplement the legacy 2015 SOAP-based PIA implementation.</w:t>
      </w:r>
    </w:p>
    <w:p>
      <w:pPr>
        <w:pStyle w:val="Heading2"/>
      </w:pPr>
      <w:r>
        <w:t xml:space="preserve">1. Architecture Overview</w:t>
      </w:r>
    </w:p>
    <w:p>
      <w:r>
        <w:t xml:space="preserve">The system follows a parallel-track architecture. Legacy documents still use the SOAP-based 'Document' and 'Tangki' tables, while new container-specific data uses the 'kontainer_documents' and 'kontainers' tables. This separation ensures zero regression on existing flows while providing a clean, schema-mapped structure for the REST API.</w:t>
      </w:r>
    </w:p>
    <w:p>
      <w:pPr>
        <w:pStyle w:val="Heading2"/>
      </w:pPr>
      <w:r>
        <w:t xml:space="preserve">2. Reference Number (ref_number) Specification</w:t>
      </w:r>
    </w:p>
    <w:p>
      <w:r>
        <w:t xml:space="preserve">The ref_number is the primary identifier for Beacukai submissions. It follows the format: AAAAYYMMDDNNNNNN</w:t>
      </w:r>
    </w:p>
    <w:p>
      <w:pPr>
        <w:spacing w:before="120"/>
      </w:pPr>
      <w:r>
        <w:t xml:space="preserve">• AAAA: First 5 characters of the 'kode_tps' (padded if shorter).</w:t>
      </w:r>
    </w:p>
    <w:p>
      <w:r>
        <w:t xml:space="preserve">• YYMMDD: The current date of creation.</w:t>
      </w:r>
    </w:p>
    <w:p>
      <w:r>
        <w:t xml:space="preserve">• NNNNNN: A daily-resetting 6-digit sequence.</w:t>
      </w:r>
    </w:p>
    <w:p>
      <w:pPr>
        <w:pStyle w:val="Heading2"/>
      </w:pPr>
      <w:r>
        <w:t xml:space="preserve">3. Data Mapping (Database to 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Database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JSON Key (Schema)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Logic/Format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 (25)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tgl_tiba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tanggalTiba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dd-MM-yyyy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no_kontainer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nomorKontainer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 (24, 4)</w:t>
            </w:r>
          </w:p>
        </w:tc>
      </w:tr>
    </w:tbl>
    <w:p>
      <w:pPr>
        <w:pStyle w:val="Heading2"/>
      </w:pPr>
      <w:r>
        <w:t xml:space="preserve">4. Transmission &amp; State Machine</w:t>
      </w:r>
    </w:p>
    <w:p>
      <w:r>
        <w:t xml:space="preserve">The system uses a state machine to track the lifecycle of a submission based on HTTP response codes from Beacukai's REST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HTTP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New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Action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201/200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None. Data accepted.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Manual correction of JSON fields.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RETRY_LATER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Automated background retry.</w:t>
            </w:r>
          </w:p>
        </w:tc>
      </w:tr>
    </w:tbl>
    <w:p>
      <w:pPr>
        <w:pStyle w:val="Heading2"/>
      </w:pPr>
      <w:r>
        <w:t xml:space="preserve">5. Security &amp; Permissions</w:t>
      </w:r>
    </w:p>
    <w:p>
      <w:r>
        <w:t xml:space="preserve">Maintenance teams must ensure the following permissions are present in the 'permissions' table for any new roles:</w:t>
      </w:r>
    </w:p>
    <w:p>
      <w:pPr>
        <w:spacing w:before="120"/>
      </w:pPr>
      <w:r>
        <w:t xml:space="preserve">• kontainer.view: View access.</w:t>
      </w:r>
    </w:p>
    <w:p>
      <w:r>
        <w:t xml:space="preserve">• kontainer.create/update: Editing draft documents.</w:t>
      </w:r>
    </w:p>
    <w:p>
      <w:r>
        <w:t xml:space="preserve">• kontainer.submit: Triggering the BeacukaiRestService.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Beacukai Container Integration Docs -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2E54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b/>
      <w:bCs/>
      <w:color w:val="2E54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2026-05-16T18:05:19.495Z</dcterms:created>
  <dcterms:modified xsi:type="dcterms:W3CDTF">2026-05-16T18:05:19.496Z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