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line="276" w:lineRule="auto"/>
        <w:jc w:val="center"/>
      </w:pPr>
      <w:r>
        <w:rPr>
          <w:rFonts w:ascii="Times New Roman" w:hAnsi="Times New Roman" w:cs="Times New Roman" w:eastAsia="Times New Roman"/>
          <w:b/>
          <w:i w:val="0"/>
          <w:color w:val="1F3864"/>
          <w:sz w:val="32"/>
        </w:rPr>
        <w:t>PHIẾU KIỂM TRA ĐỀ CƯƠNG TƯ VẤN GIÁM SÁT</w:t>
      </w:r>
    </w:p>
    <w:p>
      <w:pPr>
        <w:keepNext w:val="0"/>
        <w:spacing w:before="0" w:after="160" w:line="276" w:lineRule="auto"/>
        <w:jc w:val="center"/>
      </w:pPr>
      <w:r>
        <w:rPr>
          <w:rFonts w:ascii="Times New Roman" w:hAnsi="Times New Roman" w:cs="Times New Roman" w:eastAsia="Times New Roman"/>
          <w:b w:val="0"/>
          <w:i/>
          <w:color w:val="595959"/>
          <w:sz w:val="24"/>
        </w:rPr>
        <w:t xml:space="preserve">TT08 231223 De cuong TVGS Thi Cong Hang Muc Khoan Khao Sat Dia Chat – </w:t>
      </w:r>
    </w:p>
    <w:tbl>
      <w:tblPr>
        <w:jc w:val="center"/>
        <w:tblLayout w:type="fixed"/>
        <w:tblLook w:firstColumn="1" w:firstRow="1" w:lastColumn="0" w:lastRow="0" w:noHBand="0" w:noVBand="1" w:val="04A0"/>
        <w:tblLayout w:type="fixed"/>
        <w:tblW w:w="9026" w:type="dxa"/>
      </w:tblPr>
      <w:tblGrid>
        <w:gridCol w:w="2708"/>
        <w:gridCol w:w="6318"/>
      </w:tblGrid>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Đề cương / dự án</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 xml:space="preserve">TT08 231223 De cuong TVGS Thi Cong Hang Muc Khoan Khao Sat Dia Chat – </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Đơn vị lập</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Trung tâm 08</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File kiểm tra</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TT08 231223 De cuong TVGS Thi Cong Hang Muc Khoan Khao Sat Dia Chat – Phuc Vu Lap Bao Cao Nghien Cuu Kha Thi.docx</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Mẫu áp dụng</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Cơ bản (công cụ tự nhận: Cơ bản)</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Thời điểm lập đề cương</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Không xác định trên bìa</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Ngày kiểm tra</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23/10/2026</w:t>
            </w:r>
          </w:p>
        </w:tc>
      </w:tr>
    </w:tbl>
    <w:p>
      <w:pPr>
        <w:keepNext w:val="0"/>
        <w:spacing w:before="0" w:after="120" w:line="276" w:lineRule="auto"/>
        <w:jc w:val="both"/>
      </w:pPr>
    </w:p>
    <w:tbl>
      <w:tblPr>
        <w:jc w:val="center"/>
        <w:tblLayout w:type="fixed"/>
        <w:tblLook w:firstColumn="1" w:firstRow="1" w:lastColumn="0" w:lastRow="0" w:noHBand="0" w:noVBand="1" w:val="04A0"/>
        <w:tblLayout w:type="fixed"/>
        <w:tblW w:w="9026" w:type="dxa"/>
      </w:tblPr>
      <w:tblGrid>
        <w:gridCol w:w="2151"/>
        <w:gridCol w:w="140"/>
        <w:gridCol w:w="2151"/>
        <w:gridCol w:w="140"/>
        <w:gridCol w:w="2151"/>
        <w:gridCol w:w="140"/>
        <w:gridCol w:w="2153"/>
      </w:tblGrid>
      <w:tr>
        <w:trPr>
          <w:cantSplit w:val="true"/>
        </w:trPr>
        <w:tc>
          <w:tcPr>
            <w:tcW w:type="dxa" w:w="2151"/>
            <w:tcBorders>
              <w:top w:val="single" w:sz="24" w:color="C45911"/>
              <w:left w:val="nil"/>
              <w:bottom w:val="nil"/>
              <w:right w:val="nil"/>
            </w:tcBorders>
            <w:shd w:val="clear" w:color="auto" w:fill="FFF1DE"/>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C45911"/>
                <w:sz w:val="44"/>
              </w:rPr>
              <w:t>90</w:t>
            </w:r>
          </w:p>
          <w:p>
            <w:pPr>
              <w:spacing w:after="20" w:before="0" w:line="264" w:lineRule="auto"/>
              <w:jc w:val="center"/>
            </w:pPr>
            <w:r>
              <w:rPr>
                <w:rFonts w:ascii="Times New Roman" w:hAnsi="Times New Roman" w:cs="Times New Roman" w:eastAsia="Times New Roman"/>
                <w:b/>
                <w:i w:val="0"/>
                <w:color w:val="1F3864"/>
                <w:sz w:val="21"/>
              </w:rPr>
              <w:t>Điểm khung</w:t>
            </w:r>
          </w:p>
          <w:p>
            <w:pPr>
              <w:spacing w:after="40" w:before="0" w:line="264" w:lineRule="auto"/>
              <w:jc w:val="center"/>
            </w:pPr>
            <w:r>
              <w:rPr>
                <w:rFonts w:ascii="Times New Roman" w:hAnsi="Times New Roman" w:cs="Times New Roman" w:eastAsia="Times New Roman"/>
                <w:b w:val="0"/>
                <w:i/>
                <w:color w:val="595959"/>
                <w:sz w:val="18"/>
              </w:rPr>
              <w:t>/100 theo mẫu Cơ bản</w:t>
            </w:r>
          </w:p>
        </w:tc>
        <w:tc>
          <w:tcPr>
            <w:tcW w:type="dxa" w:w="140"/>
            <w:tcBorders>
              <w:top w:val="nil"/>
              <w:left w:val="nil"/>
              <w:bottom w:val="nil"/>
              <w:right w:val="nil"/>
            </w:tcBorders>
          </w:tcPr>
          <w:p/>
        </w:tc>
        <w:tc>
          <w:tcPr>
            <w:tcW w:type="dxa" w:w="2151"/>
            <w:tcBorders>
              <w:top w:val="single" w:sz="24" w:color="C00000"/>
              <w:left w:val="nil"/>
              <w:bottom w:val="nil"/>
              <w:right w:val="nil"/>
            </w:tcBorders>
            <w:shd w:val="clear" w:color="auto" w:fill="FDE4E1"/>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C00000"/>
                <w:sz w:val="44"/>
              </w:rPr>
              <w:t>8</w:t>
            </w:r>
          </w:p>
          <w:p>
            <w:pPr>
              <w:spacing w:after="20" w:before="0" w:line="264" w:lineRule="auto"/>
              <w:jc w:val="center"/>
            </w:pPr>
            <w:r>
              <w:rPr>
                <w:rFonts w:ascii="Times New Roman" w:hAnsi="Times New Roman" w:cs="Times New Roman" w:eastAsia="Times New Roman"/>
                <w:b/>
                <w:i w:val="0"/>
                <w:color w:val="1F3864"/>
                <w:sz w:val="21"/>
              </w:rPr>
              <w:t>Phải xử lý</w:t>
            </w:r>
          </w:p>
          <w:p>
            <w:pPr>
              <w:spacing w:after="40" w:before="0" w:line="264" w:lineRule="auto"/>
              <w:jc w:val="center"/>
            </w:pPr>
            <w:r>
              <w:rPr>
                <w:rFonts w:ascii="Times New Roman" w:hAnsi="Times New Roman" w:cs="Times New Roman" w:eastAsia="Times New Roman"/>
                <w:b w:val="0"/>
                <w:i/>
                <w:color w:val="595959"/>
                <w:sz w:val="18"/>
              </w:rPr>
              <w:t>trước khi trình ký</w:t>
            </w:r>
          </w:p>
        </w:tc>
        <w:tc>
          <w:tcPr>
            <w:tcW w:type="dxa" w:w="140"/>
            <w:tcBorders>
              <w:top w:val="nil"/>
              <w:left w:val="nil"/>
              <w:bottom w:val="nil"/>
              <w:right w:val="nil"/>
            </w:tcBorders>
          </w:tcPr>
          <w:p/>
        </w:tc>
        <w:tc>
          <w:tcPr>
            <w:tcW w:type="dxa" w:w="2151"/>
            <w:tcBorders>
              <w:top w:val="single" w:sz="24" w:color="2E5496"/>
              <w:left w:val="nil"/>
              <w:bottom w:val="nil"/>
              <w:right w:val="nil"/>
            </w:tcBorders>
            <w:shd w:val="clear" w:color="auto" w:fill="D9E1F2"/>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2E5496"/>
                <w:sz w:val="44"/>
              </w:rPr>
              <w:t>4</w:t>
            </w:r>
          </w:p>
          <w:p>
            <w:pPr>
              <w:spacing w:after="20" w:before="0" w:line="264" w:lineRule="auto"/>
              <w:jc w:val="center"/>
            </w:pPr>
            <w:r>
              <w:rPr>
                <w:rFonts w:ascii="Times New Roman" w:hAnsi="Times New Roman" w:cs="Times New Roman" w:eastAsia="Times New Roman"/>
                <w:b/>
                <w:i w:val="0"/>
                <w:color w:val="1F3864"/>
                <w:sz w:val="21"/>
              </w:rPr>
              <w:t>Hạng mục chi tiết</w:t>
            </w:r>
          </w:p>
          <w:p>
            <w:pPr>
              <w:spacing w:after="40" w:before="0" w:line="264" w:lineRule="auto"/>
              <w:jc w:val="center"/>
            </w:pPr>
            <w:r>
              <w:rPr>
                <w:rFonts w:ascii="Times New Roman" w:hAnsi="Times New Roman" w:cs="Times New Roman" w:eastAsia="Times New Roman"/>
                <w:b w:val="0"/>
                <w:i/>
                <w:color w:val="595959"/>
                <w:sz w:val="18"/>
              </w:rPr>
              <w:t>có mục giám sát riêng</w:t>
            </w:r>
          </w:p>
        </w:tc>
        <w:tc>
          <w:tcPr>
            <w:tcW w:type="dxa" w:w="140"/>
            <w:tcBorders>
              <w:top w:val="nil"/>
              <w:left w:val="nil"/>
              <w:bottom w:val="nil"/>
              <w:right w:val="nil"/>
            </w:tcBorders>
          </w:tcPr>
          <w:p/>
        </w:tc>
        <w:tc>
          <w:tcPr>
            <w:tcW w:type="dxa" w:w="2153"/>
            <w:tcBorders>
              <w:top w:val="single" w:sz="24" w:color="C00000"/>
              <w:left w:val="nil"/>
              <w:bottom w:val="nil"/>
              <w:right w:val="nil"/>
            </w:tcBorders>
            <w:shd w:val="clear" w:color="auto" w:fill="FDE4E1"/>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C00000"/>
                <w:sz w:val="44"/>
              </w:rPr>
              <w:t>5</w:t>
            </w:r>
          </w:p>
          <w:p>
            <w:pPr>
              <w:spacing w:after="20" w:before="0" w:line="264" w:lineRule="auto"/>
              <w:jc w:val="center"/>
            </w:pPr>
            <w:r>
              <w:rPr>
                <w:rFonts w:ascii="Times New Roman" w:hAnsi="Times New Roman" w:cs="Times New Roman" w:eastAsia="Times New Roman"/>
                <w:b/>
                <w:i w:val="0"/>
                <w:color w:val="1F3864"/>
                <w:sz w:val="21"/>
              </w:rPr>
              <w:t>Căn cứ hết hiệu lực</w:t>
            </w:r>
          </w:p>
          <w:p>
            <w:pPr>
              <w:spacing w:after="40" w:before="0" w:line="264" w:lineRule="auto"/>
              <w:jc w:val="center"/>
            </w:pPr>
            <w:r>
              <w:rPr>
                <w:rFonts w:ascii="Times New Roman" w:hAnsi="Times New Roman" w:cs="Times New Roman" w:eastAsia="Times New Roman"/>
                <w:b w:val="0"/>
                <w:i/>
                <w:color w:val="595959"/>
                <w:sz w:val="18"/>
              </w:rPr>
              <w:t>loại văn bản</w:t>
            </w:r>
          </w:p>
        </w:tc>
      </w:tr>
    </w:tbl>
    <w:p>
      <w:pPr>
        <w:keepNext w:val="0"/>
        <w:spacing w:before="0" w:after="120" w:line="276" w:lineRule="auto"/>
        <w:jc w:val="both"/>
      </w:pPr>
    </w:p>
    <w:tbl>
      <w:tblPr>
        <w:jc w:val="center"/>
        <w:tblLayout w:type="fixed"/>
        <w:tblLook w:firstColumn="1" w:firstRow="1" w:lastColumn="0" w:lastRow="0" w:noHBand="0" w:noVBand="1" w:val="04A0"/>
        <w:tblLayout w:type="fixed"/>
        <w:tblW w:w="9026" w:type="dxa"/>
      </w:tblPr>
      <w:tblGrid>
        <w:gridCol w:w="9026"/>
      </w:tblGrid>
      <w:tr>
        <w:trPr>
          <w:cantSplit w:val="true"/>
        </w:trPr>
        <w:tc>
          <w:tcPr>
            <w:tcW w:type="dxa" w:w="9026"/>
            <w:tcBorders>
              <w:top w:val="nil"/>
              <w:left w:val="single" w:sz="36" w:color="C45911"/>
              <w:bottom w:val="nil"/>
              <w:right w:val="nil"/>
            </w:tcBorders>
            <w:shd w:val="clear" w:color="auto" w:fill="FFF1DE"/>
            <w:tcMar>
              <w:top w:w="120" w:type="dxa"/>
              <w:left w:w="160" w:type="dxa"/>
              <w:bottom w:w="120" w:type="dxa"/>
              <w:right w:w="140" w:type="dxa"/>
            </w:tcMar>
          </w:tcPr>
          <w:p>
            <w:pPr>
              <w:spacing w:after="60" w:before="0" w:line="264" w:lineRule="auto"/>
              <w:jc w:val="left"/>
            </w:pPr>
            <w:r>
              <w:rPr>
                <w:rFonts w:ascii="Times New Roman" w:hAnsi="Times New Roman" w:cs="Times New Roman" w:eastAsia="Times New Roman"/>
                <w:b/>
                <w:i w:val="0"/>
                <w:color w:val="C45911"/>
                <w:sz w:val="23"/>
              </w:rPr>
              <w:t>KẾT LUẬN</w:t>
            </w:r>
          </w:p>
          <w:p>
            <w:pPr>
              <w:spacing w:after="40" w:before="0" w:line="288" w:lineRule="auto"/>
              <w:jc w:val="both"/>
            </w:pPr>
            <w:r>
              <w:rPr>
                <w:rFonts w:ascii="Times New Roman" w:hAnsi="Times New Roman" w:cs="Times New Roman" w:eastAsia="Times New Roman"/>
                <w:b w:val="0"/>
                <w:i w:val="0"/>
                <w:sz w:val="23"/>
              </w:rPr>
              <w:t>Kết luận: Cần chỉnh sửa, bổ sung trước khi trình ký.</w:t>
            </w:r>
          </w:p>
          <w:p>
            <w:pPr>
              <w:spacing w:after="40" w:before="0" w:line="288" w:lineRule="auto"/>
              <w:jc w:val="both"/>
            </w:pPr>
            <w:r>
              <w:rPr>
                <w:rFonts w:ascii="Times New Roman" w:hAnsi="Times New Roman" w:cs="Times New Roman" w:eastAsia="Times New Roman"/>
                <w:b w:val="0"/>
                <w:i w:val="0"/>
                <w:sz w:val="23"/>
              </w:rPr>
              <w:t>Các việc cần xử lý chính: TC02 – Quy mô, loại – cấp công trình, giải pháp thiết kế chính; CL14 – Phát hiện sai sót, bất hợp lý của thiết kế; BC02 – Thời hạn nộp báo cáo; Căn cứ hết hiệu lực: Luật Xây dựng 50/2014/QH13; Căn cứ hết hiệu lực: Luật sửa đổi Luật Xây dựng 62/2020/QH14.</w:t>
            </w:r>
          </w:p>
          <w:p>
            <w:pPr>
              <w:spacing w:after="40" w:before="0" w:line="288" w:lineRule="auto"/>
              <w:jc w:val="both"/>
            </w:pPr>
            <w:r>
              <w:rPr>
                <w:rFonts w:ascii="Times New Roman" w:hAnsi="Times New Roman" w:cs="Times New Roman" w:eastAsia="Times New Roman"/>
                <w:b w:val="0"/>
                <w:i w:val="0"/>
                <w:sz w:val="23"/>
              </w:rPr>
              <w:t>Lưu ý bắt buộc: trước khi trình ký, rà soát văn bản pháp luật, tiêu chuẩn viện dẫn bằng công cụ TEXO Legal Reviewer để bảo đảm dùng phiên bản mới nhất.</w:t>
            </w:r>
          </w:p>
        </w:tc>
      </w:tr>
    </w:tbl>
    <w:p>
      <w:pPr>
        <w:keepNext w:val="0"/>
        <w:spacing w:before="0" w:after="160" w:line="276" w:lineRule="auto"/>
        <w:jc w:val="both"/>
      </w:pPr>
    </w:p>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1. Việc cần xử lý trước khi trình ký</w:t>
      </w:r>
    </w:p>
    <w:tbl>
      <w:tblPr>
        <w:jc w:val="center"/>
        <w:tblLayout w:type="fixed"/>
        <w:tblLook w:firstColumn="1" w:firstRow="1" w:lastColumn="0" w:lastRow="0" w:noHBand="0" w:noVBand="1" w:val="04A0"/>
        <w:tblLayout w:type="fixed"/>
        <w:tblW w:w="9026" w:type="dxa"/>
      </w:tblPr>
      <w:tblGrid>
        <w:gridCol w:w="450"/>
        <w:gridCol w:w="2900"/>
        <w:gridCol w:w="2200"/>
        <w:gridCol w:w="2226"/>
        <w:gridCol w:w="1250"/>
      </w:tblGrid>
      <w:tr>
        <w:trPr>
          <w:cantSplit w:val="true"/>
          <w:tblHeader w:val="true"/>
        </w:trPr>
        <w:tc>
          <w:tcPr>
            <w:tcW w:type="dxa" w:w="4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w:t>
            </w:r>
          </w:p>
        </w:tc>
        <w:tc>
          <w:tcPr>
            <w:tcW w:type="dxa" w:w="29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Nội dung</w:t>
            </w:r>
          </w:p>
        </w:tc>
        <w:tc>
          <w:tcPr>
            <w:tcW w:type="dxa" w:w="22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Hiện trạng</w:t>
            </w:r>
          </w:p>
        </w:tc>
        <w:tc>
          <w:tcPr>
            <w:tcW w:type="dxa" w:w="22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Yêu cầu sửa</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Mức độ</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TC02 – Quy mô, loại – cấp công trình, giải pháp thiết kế chính</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2</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CL14 – Phát hiện sai sót, bất hợp lý của thiết kế</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3</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BC02 – Thời hạn nộp báo cáo</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4</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Căn cứ hết hiệu lực: Luật Xây dựng 50/2014/QH13</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Viện dẫn 2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Luật Xây dựng số 135/2025/QH15 (hiệu lực 01/7/2026)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5</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Căn cứ hết hiệu lực: Luật sửa đổi Luật Xây dựng 62/2020/QH14</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Viện dẫn 1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Luật Xây dựng số 135/2025/QH15</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6</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Căn cứ hết hiệu lực: Nghị định 06/2021/NĐ-CP</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Viện dẫn 12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Nghị định số 207/2026/NĐ-CP (hiệu lực 01/7/2026)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7</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Căn cứ hết hiệu lực: Thông tư 10/2021/TT-BXD</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Viện dẫn 2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Thông tư số 32/2026/TT-BXD</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8</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Căn cứ hết hiệu lực: Nghị định 15/2021/NĐ-CP</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Viện dẫn 6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Nghị định số 217/2026/NĐ-CP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9</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CL07 – Kiểm tra bản vẽ shopdrawing (triển khai, chế tạo, lắp đặt)</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Nhắc 2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10</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CL21 – Giám sát chạy thử, vận hành thử thiết bị</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Nhắc 1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11</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AT03 – Giám sát phòng cháy chữa cháy, phòng chống cháy nổ</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Nhắc 6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12</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TO03 – Nhiệm vụ của TVGS trưởng và các kỹ sư giám sát</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Nhắc 6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bl>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2. Đối chiếu khung chuẩn đề cương TVGS</w:t>
      </w:r>
    </w:p>
    <w:tbl>
      <w:tblPr>
        <w:jc w:val="center"/>
        <w:tblLayout w:type="fixed"/>
        <w:tblLook w:firstColumn="1" w:firstRow="1" w:lastColumn="0" w:lastRow="0" w:noHBand="0" w:noVBand="1" w:val="04A0"/>
        <w:tblLayout w:type="fixed"/>
        <w:tblW w:w="9026" w:type="dxa"/>
      </w:tblPr>
      <w:tblGrid>
        <w:gridCol w:w="650"/>
        <w:gridCol w:w="3200"/>
        <w:gridCol w:w="900"/>
        <w:gridCol w:w="3026"/>
        <w:gridCol w:w="1250"/>
      </w:tblGrid>
      <w:tr>
        <w:trPr>
          <w:cantSplit w:val="true"/>
          <w:tblHeader w:val="true"/>
        </w:trPr>
        <w:tc>
          <w:tcPr>
            <w:tcW w:type="dxa" w:w="6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Mã</w:t>
            </w:r>
          </w:p>
        </w:tc>
        <w:tc>
          <w:tcPr>
            <w:tcW w:type="dxa" w:w="32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Tiêu chí</w:t>
            </w:r>
          </w:p>
        </w:tc>
        <w:tc>
          <w:tcPr>
            <w:tcW w:type="dxa" w:w="9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Cấp</w:t>
            </w:r>
          </w:p>
        </w:tc>
        <w:tc>
          <w:tcPr>
            <w:tcW w:type="dxa" w:w="3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Kết quả / bằng chứng</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Mức độ</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Hình thức, bố cục</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Bìa đủ thông tin: Dự án, Công trình/Gói thầu, Địa điểm, Chủ đầu tư, Đơn vị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Có: Dự án, Công trình/Gói thầu, Địa điểm, Chủ đầu tư, Đơn vị TVGS</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Tờ lót có ô ký Chủ đầu tư phê duyệt và Đại diện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Có ô ký CĐT phê duyệt / TVGS</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Mục lục</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MỤC LỤC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Bảng từ ngữ viết tắt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Khổ giấy A4</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Khổ 21.0 × 29.7 cm</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Tài liệu phát hành chỉ mang tên Công ty TEXO – không nêu đơn vị nội bộ (Trung tâm, VPĐT…)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Không nêu đơn vị nội bộ</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Thông tin dự án, phạm vi công việc</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Thông tin dự án, công trình, gói thầu, địa điểm, chủ đầu tư</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 CÁC THÔNG TIN CỦA DỰ ÁN: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Quy mô, loại – cấp công trình, giải pháp thiết kế chính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00000"/>
                <w:sz w:val="17"/>
              </w:rPr>
              <w:t>Phải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Phạm vi công việc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II. PHẠM VI GÓI THẦU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Sản phẩm của gói thầu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Các bên tham gia dự án / hồ sơ dữ liệu đầu vào</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Cơ sở thực hiện, vai trò các bên</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sở thực hiện: văn bản pháp luật hiện hành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PHẦN THỨ NHẤT: CƠ SỞ THỰC HIỆN, VAI TRÒ, TRÁCH NHIỆM CỦA CÁC BÊN LIÊN QUAN TRONG DỰ ÁN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Hợp đồng TVGS, hồ sơ thiết kế, hợp đồng thi công – căn cứ của gói thầu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2. Các quy định khác theo thỏa thuận thêm giữa 2 bên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Danh mục quy chuẩn, tiêu chuẩn áp dụng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2. Các tiêu chuẩn áp dụng: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Vai trò, quyền và nghĩa vụ của Chủ đầu tư và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PHẦN THỨ NHẤT: CƠ SỞ THỰC HIỆN, VAI TRÒ, TRÁCH NHIỆM CỦA CÁC BÊN LIÊN QUAN TRONG DỰ ÁN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Quyền, nghĩa vụ / quan hệ với TVTK và nhà thầu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5.3 Quan hệ giữa TEXO  với nhà thầu thiết kế:</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chất lượng</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điều kiện khởi công, công tác chuẩn bị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1. Kiểm tra các điều kiện khởi công công trình xây dựng theo quy định tại điều 107 của Luật Xây dựng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Kiểm tra sự phù hợp năng lực nhà thầu (nhân lực, thiết bị)</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2. Kiểm tra sự phù hợp năng lực của nhà thầu thi công xây dựng công trình với hồ sơ dự thầu và hợp đồng xây dựng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hệ thống quản lý chất lượng của nhà thầu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2.2. Kiểm tra hệ thống quản lý chất lượng của NT thi công xây dựng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Kiểm tra phòng thí nghiệm, cơ sở sản xuất vật liệu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2.4. Kiểm tra phòng thí nghiệm và các cơ sở sản xuất vật liệu, cấu kiện, sản phẩm xây dựng phục vụ thi công xây dựng côn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nghiệm thu vật liệu, sản phẩm, thiết bị đầu vào</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3. Kiểm tra và giám sát chất lượng vật tư, vật liệu và thiết bị lắp đặt vào công trình do nhà thầu thi công xây dựng côn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Kiểm tra biện pháp thi công của nhà thầu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Quy trình kiểm tra biện pháp thi công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CL07</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bản vẽ shopdrawing (triển khai, chế tạo, lắp đặt)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2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CL08</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thường xuyên, nhật ký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3.4. Các kết quả kiểm tra và số lượng vật tư vật liệu đưa vào công trình từng thời điểm trong ngày được ghi trong nhật k</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CL09</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xác nhận bản vẽ hoàn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4.3. Xác nhận bản vẽ hoàn công: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CL10</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Nghiệm thu công việc xây dựng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Quy trình giám sát nghiệm thu công việc xây dựng.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Nghiệm thu bộ phận, giai đoạn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Quy trình giám sát nghiệm thu bộ phận công trình, giai đoạn thi công xây dựng.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Nghiệm thu hoàn thành hạng mục, công trình đưa vào sử dụng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Quy trình giám sát nghiệm thu hoàn thành hạng mục công trình xây dựng, Công trình xây dựng đưa vào sử dụng.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Hồ sơ nghiệm thu, tài liệu hoàn thành công trình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4.5.1. Tài liệu phục vụ nghiệm thu bộ phận công trình như nêu trong căn cứ nghiệm thu bộ phận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Phát hiện sai sót, bất hợp lý của thiết kế</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00000"/>
                <w:sz w:val="17"/>
              </w:rPr>
              <w:t>Phải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Đề nghị kiểm định lại khi nghi ngờ chất lượng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 xml:space="preserve">Đạt – Mục: 4.7. Đề nghị CĐT tổ chức kiểm định lại chất lượng bộ phận công trình, hạng mục công trình và công trình xây dựng khi có </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Phối hợp giải quyết vướng mắc, phát sinh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4.8. Phối hợp với các bên liên quan giải quyết những vướng mắc, phát sinh trong thi công xây dựng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CL17</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Sơ đồ/lưu đồ quy trình quản lý chất lượng, quy trình nghiệm thu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Quy trình giám sát nghiệm thu vật tư vật liệu trước khi sử dụng.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CL18</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Quy trình xử lý không phù hợp (NCR)</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CL19</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Quản lý thay đổi thiết kế, RFI, xung đột bộ môn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2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CL20</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Kế hoạch nghiệm thu / kế hoạch kiểm tra (ITP)</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7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CL21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Giám sát chạy thử, vận hành thử thiết bị</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1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khối lượng</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Nguyên tắc giám sát, xác nhận khối lượng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II. GIÁM SÁT KHỐI LƯỢNG: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Khối lượng phát sinh so với thiết kế</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3. Khối lượng phát sinh so với hồ sơ thiết kế.</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Khối lượng sửa đổi, khối lượng thi công khác</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4. Khối lượng sửa đổi so với hồ sơ thiết kế.</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Quy trình, thời hạn xác nhận khối lượng; lưu ý khi tính khối lượng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1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tiến độ</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TD01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tiến độ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III. GIÁM SÁT TIẾN ĐỘ, ĐỀ XUẤT GIẢI PHÁP KHẮC PHỤC KHI TIẾN ĐỘ BỊ CHẬM</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TD02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Biện pháp khắc phục chậm tiến độ, đẩy nhanh tiến độ</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III. GIÁM SÁT TIẾN ĐỘ, ĐỀ XUẤT GIẢI PHÁP KHẮC PHỤC KHI TIẾN ĐỘ BỊ CHẬM</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TD03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Cập nhật tiến độ định kỳ, cảnh báo sớm nguy cơ chậm</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ATLĐ, VSMT, PCCC</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an toàn lao động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IV. GIÁM SÁT AN TOÀN LAO ĐỘNG VÀ VỆ SINH MÔI TRƯỜNG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Giám sát vệ sinh môi trường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IV. GIÁM SÁT AN TOÀN LAO ĐỘNG VÀ VỆ SINH MÔI TRƯỜNG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phòng cháy chữa cháy, phòng chống cháy nổ</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6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Kế hoạch quản lý an toàn: nhận diện mối nguy, đánh giá rủi ro, biện pháp kiểm soát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Ứng phó tình huống khẩn cấp, quy trình đình chỉ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d) Đình chỉ thực hiện hoặc chấm dứt hợp đồng với TEXO theo quy định trong hợp đồng kinh tế và theo pháp luật.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Báo cáo, họp, trao đổi thông tin</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Chế độ báo cáo (tuần, tháng, giai đoạn, hoàn thành, sự cố)</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V. CHẾ ĐỘ BÁO CÁO VÀ TỔ CHỨC CÁC CUỘC HỌP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Thời hạn nộp báo cáo</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00000"/>
                <w:sz w:val="17"/>
              </w:rPr>
              <w:t>Phải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Tổ chức các cuộc họp, giao ban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V. CHẾ ĐỘ BÁO CÁO VÀ TỔ CHỨC CÁC CUỘC HỌP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Trao đổi thông tin, quản lý hồ sơ – tài liệu, thời hạn xử lý hồ sơ</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2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Tổ chức thực hiện đoàn TVGS</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Tổ chức thực hiện – nguyên tắc chung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VI. TỔ CHỨC THỰC HIỆN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Mô hình, sơ đồ tổ chức đoàn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2. Mô hình đoàn TVGS.</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Nhiệm vụ của TVGS trưởng và các kỹ sư giám sát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6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Quan hệ của đoàn TVGS với Công ty, nội bộ và các bên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3. Quan hệ của đoàn tư vấn giám sát với các đơn vị, công ty.</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Phân công / phân cấp trách nhiệm ký hồ sơ sản phẩm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6. Phân công quyền hạn, trách nhiệm của từng chức danh giám sát.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Ma trận trách nhiệm phối hợp các bên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TO07</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Kế hoạch điều động, đánh giá, đào tạo nhân sự đoàn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2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TO08</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Hệ thống đảm bảo chất lượng công tác giám sát (ISO 9001, kiểm soát nội bộ)</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1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TO09</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Biện pháp phòng ngừa sai sót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Đề cương giám sát chi tiết, biểu mẫu</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phần đề cương giám sát chi tiết theo từng công tác/hạng mục</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PHẦN THỨ BA: ĐỀ CƯƠNG GIÁM SÁT CHI TIẾT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Tiêu chuẩn được viện dẫn cho từng công tác (≥ 10 lượt TCVN/QCVN)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17 lượt viện dẫn TCVN/QCVN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Biểu mẫu hồ sơ (hoặc dẫn chiếu biểu mẫu dự án)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VII. BIỂU MẪU PHỤC VỤ CÔNG TÁC GIÁM SÁT: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Phiếu/bảng kiểm tra chi tiết (công việc kiểm tra – căn cứ – đánh giá) và sai số cho phép</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bl>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3. Hạng mục công tác – đề cương chi tiết</w:t>
      </w:r>
    </w:p>
    <w:tbl>
      <w:tblPr>
        <w:jc w:val="center"/>
        <w:tblLayout w:type="fixed"/>
        <w:tblLook w:firstColumn="1" w:firstRow="1" w:lastColumn="0" w:lastRow="0" w:noHBand="0" w:noVBand="1" w:val="04A0"/>
        <w:tblLayout w:type="fixed"/>
        <w:tblW w:w="9026" w:type="dxa"/>
      </w:tblPr>
      <w:tblGrid>
        <w:gridCol w:w="2800"/>
        <w:gridCol w:w="1250"/>
        <w:gridCol w:w="2700"/>
        <w:gridCol w:w="1026"/>
        <w:gridCol w:w="1250"/>
      </w:tblGrid>
      <w:tr>
        <w:trPr>
          <w:cantSplit w:val="true"/>
          <w:tblHeader w:val="true"/>
        </w:trPr>
        <w:tc>
          <w:tcPr>
            <w:tcW w:type="dxa" w:w="28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Hạng mục</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Nhóm</w:t>
            </w:r>
          </w:p>
        </w:tc>
        <w:tc>
          <w:tcPr>
            <w:tcW w:type="dxa" w:w="2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Hiện trạng / mục tìm thấy</w:t>
            </w:r>
          </w:p>
        </w:tc>
        <w:tc>
          <w:tcPr>
            <w:tcW w:type="dxa" w:w="1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Cần có</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Mức độ</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Kiểm tra sự phù hợp năng lực của nhà thầu thi công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2. Kiểm tra sự phù hợp năng lực của nhà thầu thi công xây dựng công trình với hồ sơ dự thầu và hợp đồng xây dự</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vật liệu, thiết bị, sản phẩm chế tạo sẵn lắp đặt vào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3. Kiểm tra và giám sát chất lượng vật tư, vật liệu và thiết bị lắp đặt vào công trình do nhà thầu thi công xâ</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khoan khảo sát địa chất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Chuyên đề</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Giám sát thi công khoan khảo sát địa chất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trắc đạc, quan trắc (gói chuyên đề)</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Chuyên đề</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chạy thử, nghiệm thu và bàn giao đưa công trình vào sử dụng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an toàn lao động, PCCC, vệ sinh môi trường tại hiện trường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IV. GIÁM SÁT AN TOÀN LAO ĐỘNG VÀ VỆ SINH MÔI TRƯỜNG</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quan trắc lún, nghiêng, chuyển vị và kiểm định kết cấu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Chuyên đề</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bl>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4. Căn cứ pháp lý</w:t>
      </w:r>
    </w:p>
    <w:p>
      <w:pPr>
        <w:keepNext w:val="0"/>
        <w:spacing w:before="0" w:after="120" w:line="276" w:lineRule="auto"/>
        <w:jc w:val="both"/>
      </w:pPr>
      <w:r>
        <w:rPr>
          <w:rFonts w:ascii="Times New Roman" w:hAnsi="Times New Roman" w:cs="Times New Roman" w:eastAsia="Times New Roman"/>
          <w:b w:val="0"/>
          <w:i w:val="0"/>
          <w:sz w:val="22"/>
        </w:rPr>
        <w:t>Văn bản mới đã viện dẫn: Luật XD 135/2025 ✗, NĐ 207/2026 ✗, TT 32/2026 ✗, NĐ 217/2026 / 212/2026 ✗</w:t>
      </w:r>
    </w:p>
    <w:tbl>
      <w:tblPr>
        <w:jc w:val="center"/>
        <w:tblLayout w:type="fixed"/>
        <w:tblLook w:firstColumn="1" w:firstRow="1" w:lastColumn="0" w:lastRow="0" w:noHBand="0" w:noVBand="1" w:val="04A0"/>
        <w:tblLayout w:type="fixed"/>
        <w:tblW w:w="9026" w:type="dxa"/>
      </w:tblPr>
      <w:tblGrid>
        <w:gridCol w:w="2600"/>
        <w:gridCol w:w="650"/>
        <w:gridCol w:w="4526"/>
        <w:gridCol w:w="1250"/>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Văn bản</w:t>
            </w:r>
          </w:p>
        </w:tc>
        <w:tc>
          <w:tcPr>
            <w:tcW w:type="dxa" w:w="6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Số lần</w:t>
            </w:r>
          </w:p>
        </w:tc>
        <w:tc>
          <w:tcPr>
            <w:tcW w:type="dxa" w:w="45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Đề xuất</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Mức độ</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Luật Xây dựng 50/2014/QH13</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2</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Luật Xây dựng số 135/2025/QH15 (hiệu lực 01/7/2026)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Luật sửa đổi Luật Xây dựng 62/2020/QH14</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F7F9FC"/>
          </w:tcPr>
          <w:p>
            <w:pPr>
              <w:spacing w:after="30" w:before="0" w:line="264" w:lineRule="auto"/>
              <w:jc w:val="center"/>
            </w:pPr>
            <w:r>
              <w:rPr>
                <w:rFonts w:ascii="Times New Roman" w:hAnsi="Times New Roman" w:cs="Times New Roman" w:eastAsia="Times New Roman"/>
                <w:b w:val="0"/>
                <w:i w:val="0"/>
                <w:sz w:val="19"/>
              </w:rPr>
              <w:t>1</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Luật Xây dựng số 135/2025/QH15</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Nghị định 06/2021/NĐ-CP</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12</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Nghị định số 207/2026/NĐ-CP (hiệu lực 01/7/2026)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Thông tư 10/2021/TT-BXD</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F7F9FC"/>
          </w:tcPr>
          <w:p>
            <w:pPr>
              <w:spacing w:after="30" w:before="0" w:line="264" w:lineRule="auto"/>
              <w:jc w:val="center"/>
            </w:pPr>
            <w:r>
              <w:rPr>
                <w:rFonts w:ascii="Times New Roman" w:hAnsi="Times New Roman" w:cs="Times New Roman" w:eastAsia="Times New Roman"/>
                <w:b w:val="0"/>
                <w:i w:val="0"/>
                <w:sz w:val="19"/>
              </w:rPr>
              <w:t>2</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Thông tư số 32/2026/TT-BXD</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Nghị định 15/2021/NĐ-CP</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6</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Nghị định số 217/2026/NĐ-CP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Thông tư 06/2017/TT-BXD (thí nghiệm chuyên ngành)</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F7F9FC"/>
          </w:tcPr>
          <w:p>
            <w:pPr>
              <w:spacing w:after="30" w:before="0" w:line="264" w:lineRule="auto"/>
              <w:jc w:val="center"/>
            </w:pPr>
            <w:r>
              <w:rPr>
                <w:rFonts w:ascii="Times New Roman" w:hAnsi="Times New Roman" w:cs="Times New Roman" w:eastAsia="Times New Roman"/>
                <w:b w:val="0"/>
                <w:i w:val="0"/>
                <w:sz w:val="19"/>
              </w:rPr>
              <w:t>5</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Kiểm tra văn bản thay thế theo hệ thống văn bản 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2E5496"/>
                <w:sz w:val="18"/>
              </w:rPr>
              <w:t>Lưu 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Nghị định 62/2016/NĐ-CP (điều kiện hoạt động thí nghiệm)</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2</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Kiểm tra văn bản thay thế theo hệ thống văn bản 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2E5496"/>
                <w:sz w:val="18"/>
              </w:rPr>
              <w:t>Lưu 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TCVN 5308:1991</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F7F9FC"/>
          </w:tcPr>
          <w:p>
            <w:pPr>
              <w:spacing w:after="30" w:before="0" w:line="264" w:lineRule="auto"/>
              <w:jc w:val="center"/>
            </w:pPr>
            <w:r>
              <w:rPr>
                <w:rFonts w:ascii="Times New Roman" w:hAnsi="Times New Roman" w:cs="Times New Roman" w:eastAsia="Times New Roman"/>
                <w:b w:val="0"/>
                <w:i w:val="0"/>
                <w:sz w:val="19"/>
              </w:rPr>
              <w:t>1</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Tiêu chuẩn ban hành đã lâu – đối chiếu danh mục tiêu chuẩn dự án và tiêu chuẩn thay thế (nếu 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2E5496"/>
                <w:sz w:val="18"/>
              </w:rPr>
              <w:t>Lưu 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Thông tư 53/2016/TT-BLĐTBXH</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1</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Danh mục máy, thiết bị có yêu cầu nghiêm ngặt về ATLĐ – đối chiếu văn bản thay thế hiện hành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2E5496"/>
                <w:sz w:val="18"/>
              </w:rPr>
              <w:t>Lưu ý</w:t>
            </w:r>
          </w:p>
        </w:tc>
      </w:tr>
    </w:tbl>
    <w:p>
      <w:pPr>
        <w:keepNext w:val="0"/>
        <w:spacing w:before="0" w:after="120" w:line="276" w:lineRule="auto"/>
        <w:jc w:val="both"/>
      </w:pPr>
      <w:r>
        <w:rPr>
          <w:rFonts w:ascii="Times New Roman" w:hAnsi="Times New Roman" w:cs="Times New Roman" w:eastAsia="Times New Roman"/>
          <w:b/>
          <w:i w:val="0"/>
          <w:color w:val="C00000"/>
          <w:sz w:val="20"/>
        </w:rPr>
        <w:t>Công cụ này chỉ dò theo danh mục văn bản theo dõi (cập nhật 2026-10-23). Bắt buộc rà soát toàn bộ văn bản pháp luật, tiêu chuẩn viện dẫn bằng công cụ TEXO Legal Reviewer trước khi trình ký để bảo đảm dùng phiên bản mới nhất.</w:t>
      </w:r>
    </w:p>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5. Trình bày, thông tin dự án</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Nội dung</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Kết quả</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Quy mô tài liệu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15.437 từ · 182 tiêu đề · 12 bảng · 10 hình/sơ đồ</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Tên dự án tìm thấy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 đầu tư tìm thấy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CÔNG TY CỔ PHẦN THÁI - HOLDING</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Nghi lẫn tên dự án/CĐT khác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Không</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Chỗ trống chờ điền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Không</w:t>
            </w:r>
          </w:p>
        </w:tc>
      </w:tr>
    </w:tbl>
    <w:p>
      <w:pPr>
        <w:keepNext w:val="0"/>
        <w:spacing w:before="0" w:after="200" w:line="276" w:lineRule="auto"/>
        <w:jc w:val="both"/>
      </w:pPr>
    </w:p>
    <w:tbl>
      <w:tblPr>
        <w:jc w:val="center"/>
        <w:tblLayout w:type="fixed"/>
        <w:tblLook w:firstColumn="1" w:firstRow="1" w:lastColumn="0" w:lastRow="0" w:noHBand="0" w:noVBand="1" w:val="04A0"/>
        <w:tblLayout w:type="fixed"/>
        <w:tblW w:w="9026" w:type="dxa"/>
      </w:tblPr>
      <w:tblGrid>
        <w:gridCol w:w="3249"/>
        <w:gridCol w:w="5777"/>
      </w:tblGrid>
      <w:tr>
        <w:trPr>
          <w:cantSplit w:val="true"/>
        </w:trPr>
        <w:tc>
          <w:tcPr>
            <w:tcW w:type="dxa" w:w="3249"/>
            <w:vMerge w:val="restart"/>
            <w:tcBorders>
              <w:top w:val="nil"/>
              <w:left w:val="nil"/>
              <w:bottom w:val="nil"/>
              <w:right w:val="nil"/>
            </w:tcBorders>
            <w:tcMar>
              <w:top w:w="0" w:type="dxa"/>
              <w:left w:w="100" w:type="dxa"/>
              <w:bottom w:w="0" w:type="dxa"/>
              <w:right w:w="100" w:type="dxa"/>
            </w:tcMar>
          </w:tcPr>
          <w:p>
            <w:pPr>
              <w:spacing w:after="30" w:before="0" w:line="264" w:lineRule="auto"/>
              <w:jc w:val="left"/>
            </w:pPr>
            <w:r>
              <w:rPr>
                <w:rFonts w:ascii="Times New Roman" w:hAnsi="Times New Roman" w:cs="Times New Roman" w:eastAsia="Times New Roman"/>
                <w:b/>
                <w:i/>
                <w:sz w:val="22"/>
              </w:rPr>
              <w:t>Nơi nhận:</w:t>
            </w:r>
          </w:p>
          <w:p>
            <w:pPr>
              <w:spacing w:after="30" w:before="0" w:line="264" w:lineRule="auto"/>
              <w:jc w:val="left"/>
            </w:pPr>
            <w:r>
              <w:rPr>
                <w:rFonts w:ascii="Times New Roman" w:hAnsi="Times New Roman" w:cs="Times New Roman" w:eastAsia="Times New Roman"/>
                <w:b w:val="0"/>
                <w:i w:val="0"/>
                <w:sz w:val="20"/>
              </w:rPr>
              <w:t>- Trung tâm lập đề cương</w:t>
            </w:r>
          </w:p>
          <w:p>
            <w:pPr>
              <w:spacing w:after="30" w:before="0" w:line="264" w:lineRule="auto"/>
              <w:jc w:val="left"/>
            </w:pPr>
            <w:r>
              <w:rPr>
                <w:rFonts w:ascii="Times New Roman" w:hAnsi="Times New Roman" w:cs="Times New Roman" w:eastAsia="Times New Roman"/>
                <w:b w:val="0"/>
                <w:i w:val="0"/>
                <w:sz w:val="20"/>
              </w:rPr>
              <w:t>- Lưu P.KT</w:t>
            </w:r>
          </w:p>
        </w:tc>
        <w:tc>
          <w:tcPr>
            <w:tcW w:type="dxa" w:w="5777"/>
            <w:tcBorders>
              <w:top w:val="nil"/>
              <w:left w:val="nil"/>
              <w:bottom w:val="nil"/>
              <w:right w:val="nil"/>
            </w:tcBorders>
            <w:tcMar>
              <w:top w:w="0" w:type="dxa"/>
              <w:left w:w="100" w:type="dxa"/>
              <w:bottom w:w="0" w:type="dxa"/>
              <w:right w:w="100" w:type="dxa"/>
            </w:tcMar>
          </w:tcPr>
          <w:p>
            <w:pPr>
              <w:spacing w:after="80" w:before="0" w:line="264" w:lineRule="auto"/>
              <w:jc w:val="center"/>
            </w:pPr>
            <w:r>
              <w:rPr>
                <w:rFonts w:ascii="Times New Roman" w:hAnsi="Times New Roman" w:cs="Times New Roman" w:eastAsia="Times New Roman"/>
                <w:b w:val="0"/>
                <w:i/>
                <w:sz w:val="22"/>
              </w:rPr>
              <w:t>Hà Nội, ngày 23 tháng 10 năm 2026</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i w:val="0"/>
                <w:sz w:val="23"/>
              </w:rPr>
              <w:t>TRƯỞNG PHÒNG</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i w:val="0"/>
                <w:sz w:val="23"/>
              </w:rPr>
              <w:t>KỸ THUẬT</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val="0"/>
                <w:i/>
                <w:color w:val="595959"/>
                <w:sz w:val="20"/>
              </w:rPr>
              <w:t>(Ký, ghi rõ họ tên)</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960" w:before="0" w:line="264" w:lineRule="auto"/>
              <w:jc w:val="left"/>
            </w:pP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i w:val="0"/>
                <w:sz w:val="24"/>
              </w:rPr>
              <w:t>Hoàng Đức Vũ</w:t>
            </w:r>
          </w:p>
        </w:tc>
      </w:tr>
    </w:tbl>
    <w:sectPr w:rsidR="00FC693F" w:rsidRPr="0006063C" w:rsidSect="00034616">
      <w:headerReference w:type="default" r:id="rId9"/>
      <w:footerReference w:type="default" r:id="rId10"/>
      <w:pgSz w:w="11906" w:h="16838"/>
      <w:pgMar w:top="1300" w:right="1440" w:bottom="1080" w:left="1440" w:header="480" w:footer="4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center"/>
      <w:tblLayout w:type="fixed"/>
      <w:tblLook w:firstColumn="1" w:firstRow="1" w:lastColumn="0" w:lastRow="0" w:noHBand="0" w:noVBand="1" w:val="04A0"/>
      <w:tblLayout w:type="fixed"/>
      <w:tblW w:w="9026" w:type="dxa"/>
    </w:tblPr>
    <w:tblGrid>
      <w:gridCol w:w="7526"/>
      <w:gridCol w:w="1500"/>
    </w:tblGrid>
    <w:tr>
      <w:tc>
        <w:tcPr>
          <w:tcW w:type="dxa" w:w="7526"/>
          <w:tcBorders>
            <w:top w:val="single" w:sz="4" w:color="BFBFBF"/>
            <w:left w:val="nil"/>
            <w:bottom w:val="nil"/>
            <w:right w:val="nil"/>
          </w:tcBorders>
          <w:tcMar>
            <w:top w:w="50" w:type="dxa"/>
            <w:left w:w="0" w:type="dxa"/>
            <w:bottom w:w="0" w:type="dxa"/>
            <w:right w:w="0" w:type="dxa"/>
          </w:tcMar>
        </w:tcPr>
        <w:p>
          <w:pPr>
            <w:spacing w:after="0" w:before="0" w:line="264" w:lineRule="auto"/>
            <w:jc w:val="left"/>
          </w:pPr>
          <w:r>
            <w:rPr>
              <w:rFonts w:ascii="Times New Roman" w:hAnsi="Times New Roman" w:cs="Times New Roman" w:eastAsia="Times New Roman"/>
              <w:b w:val="0"/>
              <w:i/>
              <w:color w:val="595959"/>
              <w:sz w:val="16"/>
            </w:rPr>
            <w:t>Tài liệu nội bộ · Phiếu kiểm tra đề cương TVGS</w:t>
          </w:r>
        </w:p>
      </w:tc>
      <w:tc>
        <w:tcPr>
          <w:tcW w:type="dxa" w:w="1500"/>
          <w:tcBorders>
            <w:top w:val="single" w:sz="4" w:color="BFBFBF"/>
            <w:left w:val="nil"/>
            <w:bottom w:val="nil"/>
            <w:right w:val="nil"/>
          </w:tcBorders>
          <w:tcMar>
            <w:top w:w="50" w:type="dxa"/>
            <w:left w:w="0" w:type="dxa"/>
            <w:bottom w:w="0" w:type="dxa"/>
            <w:right w:w="0" w:type="dxa"/>
          </w:tcMar>
        </w:tcPr>
        <w:p>
          <w:pPr>
            <w:spacing w:after="0" w:before="0" w:line="264" w:lineRule="auto"/>
            <w:jc w:val="right"/>
          </w:pPr>
          <w:r>
            <w:rPr>
              <w:rFonts w:ascii="Times New Roman" w:hAnsi="Times New Roman" w:cs="Times New Roman" w:eastAsia="Times New Roman"/>
              <w:b w:val="0"/>
              <w:i w:val="0"/>
              <w:color w:val="595959"/>
              <w:sz w:val="16"/>
            </w:rPr>
            <w:t xml:space="preserve">Trang </w:t>
          </w:r>
          <w:r>
            <w:rPr>
              <w:rFonts w:ascii="Times New Roman" w:hAnsi="Times New Roman"/>
              <w:color w:val="595959"/>
              <w:sz w:val="16"/>
            </w:rPr>
            <w:fldChar w:fldCharType="begin"/>
            <w:instrText xml:space="preserve">PAGE</w:instrText>
            <w:fldChar w:fldCharType="end"/>
          </w:r>
          <w:r>
            <w:rPr>
              <w:rFonts w:ascii="Times New Roman" w:hAnsi="Times New Roman" w:cs="Times New Roman" w:eastAsia="Times New Roman"/>
              <w:b w:val="0"/>
              <w:i w:val="0"/>
              <w:color w:val="595959"/>
              <w:sz w:val="16"/>
            </w:rPr>
            <w:t xml:space="preserve"> / </w:t>
          </w:r>
          <w:r>
            <w:rPr>
              <w:rFonts w:ascii="Times New Roman" w:hAnsi="Times New Roman"/>
              <w:color w:val="595959"/>
              <w:sz w:val="16"/>
            </w:rPr>
            <w:fldChar w:fldCharType="begin"/>
            <w:instrText xml:space="preserve">NUMPAGES</w:instrText>
            <w:fldChar w:fldCharType="end"/>
          </w:r>
        </w:p>
      </w:tc>
    </w:tr>
  </w:tbl>
  <w:p>
    <w:pPr>
      <w:spacing w:after="0" w:line="120" w:lineRule="auto"/>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center"/>
      <w:tblLayout w:type="fixed"/>
      <w:tblLook w:firstColumn="1" w:firstRow="1" w:lastColumn="0" w:lastRow="0" w:noHBand="0" w:noVBand="1" w:val="04A0"/>
      <w:tblLayout w:type="fixed"/>
      <w:tblW w:w="9026" w:type="dxa"/>
    </w:tblPr>
    <w:tblGrid>
      <w:gridCol w:w="1250"/>
      <w:gridCol w:w="3985"/>
      <w:gridCol w:w="3791"/>
    </w:tblGrid>
    <w:tr>
      <w:tc>
        <w:tcPr>
          <w:tcW w:type="dxa" w:w="1250"/>
          <w:tcBorders>
            <w:top w:val="nil"/>
            <w:left w:val="nil"/>
            <w:bottom w:val="single" w:sz="12" w:color="2E5496"/>
            <w:right w:val="nil"/>
          </w:tcBorders>
          <w:tcMar>
            <w:top w:w="0" w:type="dxa"/>
            <w:left w:w="100" w:type="dxa"/>
            <w:bottom w:w="40" w:type="dxa"/>
            <w:right w:w="100" w:type="dxa"/>
          </w:tcMar>
          <w:vAlign w:val="bottom"/>
        </w:tcPr>
        <w:p>
          <w:pPr>
            <w:spacing w:after="40"/>
          </w:pPr>
          <w:r>
            <w:drawing>
              <wp:inline xmlns:a="http://schemas.openxmlformats.org/drawingml/2006/main" xmlns:pic="http://schemas.openxmlformats.org/drawingml/2006/picture">
                <wp:extent cx="637200" cy="244800"/>
                <wp:docPr id="1" name="Picture 1"/>
                <wp:cNvGraphicFramePr>
                  <a:graphicFrameLocks noChangeAspect="1"/>
                </wp:cNvGraphicFramePr>
                <a:graphic>
                  <a:graphicData uri="http://schemas.openxmlformats.org/drawingml/2006/picture">
                    <pic:pic>
                      <pic:nvPicPr>
                        <pic:cNvPr id="0" name="logo_texo.png"/>
                        <pic:cNvPicPr/>
                      </pic:nvPicPr>
                      <pic:blipFill>
                        <a:blip r:embed="rId1"/>
                        <a:stretch>
                          <a:fillRect/>
                        </a:stretch>
                      </pic:blipFill>
                      <pic:spPr>
                        <a:xfrm>
                          <a:off x="0" y="0"/>
                          <a:ext cx="637200" cy="244800"/>
                        </a:xfrm>
                        <a:prstGeom prst="rect"/>
                      </pic:spPr>
                    </pic:pic>
                  </a:graphicData>
                </a:graphic>
              </wp:inline>
            </w:drawing>
          </w:r>
        </w:p>
      </w:tc>
      <w:tc>
        <w:tcPr>
          <w:tcW w:type="dxa" w:w="3985"/>
          <w:tcBorders>
            <w:top w:val="nil"/>
            <w:left w:val="nil"/>
            <w:bottom w:val="single" w:sz="12" w:color="2E5496"/>
            <w:right w:val="nil"/>
          </w:tcBorders>
          <w:tcMar>
            <w:top w:w="0" w:type="dxa"/>
            <w:left w:w="100" w:type="dxa"/>
            <w:bottom w:w="40" w:type="dxa"/>
            <w:right w:w="100" w:type="dxa"/>
          </w:tcMar>
          <w:vAlign w:val="bottom"/>
        </w:tcPr>
        <w:p>
          <w:pPr>
            <w:spacing w:after="0" w:before="0" w:line="264" w:lineRule="auto"/>
            <w:jc w:val="left"/>
          </w:pPr>
          <w:r>
            <w:rPr>
              <w:rFonts w:ascii="Times New Roman" w:hAnsi="Times New Roman" w:cs="Times New Roman" w:eastAsia="Times New Roman"/>
              <w:b/>
              <w:i w:val="0"/>
              <w:color w:val="1F3864"/>
              <w:sz w:val="16"/>
            </w:rPr>
            <w:t>CÔNG TY CỔ PHẦN TEXO TƯ VẤN VÀ ĐẦU TƯ</w:t>
          </w:r>
        </w:p>
        <w:p>
          <w:pPr>
            <w:spacing w:after="40" w:before="0" w:line="264" w:lineRule="auto"/>
            <w:jc w:val="left"/>
          </w:pPr>
          <w:r>
            <w:rPr>
              <w:rFonts w:ascii="Times New Roman" w:hAnsi="Times New Roman" w:cs="Times New Roman" w:eastAsia="Times New Roman"/>
              <w:b/>
              <w:i w:val="0"/>
              <w:color w:val="2E5496"/>
              <w:sz w:val="16"/>
            </w:rPr>
            <w:t>PHÒNG KỸ THUẬT</w:t>
          </w:r>
        </w:p>
      </w:tc>
      <w:tc>
        <w:tcPr>
          <w:tcW w:type="dxa" w:w="3791"/>
          <w:tcBorders>
            <w:top w:val="nil"/>
            <w:left w:val="nil"/>
            <w:bottom w:val="single" w:sz="12" w:color="2E5496"/>
            <w:right w:val="nil"/>
          </w:tcBorders>
          <w:tcMar>
            <w:top w:w="0" w:type="dxa"/>
            <w:left w:w="100" w:type="dxa"/>
            <w:bottom w:w="40" w:type="dxa"/>
            <w:right w:w="100" w:type="dxa"/>
          </w:tcMar>
          <w:vAlign w:val="bottom"/>
        </w:tcPr>
        <w:p>
          <w:pPr>
            <w:spacing w:after="0" w:before="0" w:line="264" w:lineRule="auto"/>
            <w:jc w:val="right"/>
          </w:pPr>
          <w:r>
            <w:rPr>
              <w:rFonts w:ascii="Times New Roman" w:hAnsi="Times New Roman" w:cs="Times New Roman" w:eastAsia="Times New Roman"/>
              <w:b/>
              <w:i w:val="0"/>
              <w:color w:val="1F3864"/>
              <w:sz w:val="17"/>
            </w:rPr>
            <w:t>PHIẾU KIỂM TRA ĐỀ CƯƠNG TVGS</w:t>
          </w:r>
        </w:p>
        <w:p>
          <w:pPr>
            <w:spacing w:after="40" w:before="0" w:line="264" w:lineRule="auto"/>
            <w:jc w:val="right"/>
          </w:pPr>
          <w:r>
            <w:rPr>
              <w:rFonts w:ascii="Times New Roman" w:hAnsi="Times New Roman" w:cs="Times New Roman" w:eastAsia="Times New Roman"/>
              <w:b w:val="0"/>
              <w:i/>
              <w:color w:val="595959"/>
              <w:sz w:val="16"/>
            </w:rPr>
            <w:t xml:space="preserve">TT08 231223 De cuong TVGS Thi Cong Hang </w:t>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